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A51F5" w14:textId="51195508" w:rsidR="00D36310" w:rsidRPr="00E351CA" w:rsidRDefault="00000000">
      <w:pPr>
        <w:pStyle w:val="Title"/>
        <w:rPr>
          <w:color w:val="4C1078"/>
        </w:rPr>
      </w:pPr>
      <w:r w:rsidRPr="00E351CA">
        <w:rPr>
          <w:color w:val="4C1078"/>
        </w:rPr>
        <w:t xml:space="preserve">Hobart Basketball </w:t>
      </w:r>
      <w:r w:rsidR="004E5BDC">
        <w:rPr>
          <w:color w:val="4C1078"/>
        </w:rPr>
        <w:t>Advance An</w:t>
      </w:r>
      <w:r w:rsidR="00467489">
        <w:rPr>
          <w:color w:val="4C1078"/>
        </w:rPr>
        <w:t>a</w:t>
      </w:r>
      <w:r w:rsidR="004E5BDC">
        <w:rPr>
          <w:color w:val="4C1078"/>
        </w:rPr>
        <w:t xml:space="preserve">lytical </w:t>
      </w:r>
      <w:r w:rsidR="00BE2C76">
        <w:rPr>
          <w:color w:val="4C1078"/>
        </w:rPr>
        <w:t>Breakdown</w:t>
      </w:r>
      <w:r w:rsidRPr="00E351CA">
        <w:rPr>
          <w:color w:val="4C1078"/>
        </w:rPr>
        <w:t xml:space="preserve"> (2019–2025)</w:t>
      </w:r>
    </w:p>
    <w:p w14:paraId="63D6F2AD" w14:textId="77777777" w:rsidR="00D36310" w:rsidRPr="00E351CA" w:rsidRDefault="00000000">
      <w:pPr>
        <w:pStyle w:val="Heading1"/>
        <w:rPr>
          <w:color w:val="4C1078"/>
        </w:rPr>
      </w:pPr>
      <w:r w:rsidRPr="00E351CA">
        <w:rPr>
          <w:color w:val="4C1078"/>
        </w:rPr>
        <w:t>Executive Summary</w:t>
      </w:r>
    </w:p>
    <w:p w14:paraId="025B9B07" w14:textId="77777777" w:rsidR="005512DE" w:rsidRPr="008F229A" w:rsidRDefault="005512DE" w:rsidP="005512DE">
      <w:pPr>
        <w:rPr>
          <w:sz w:val="24"/>
          <w:szCs w:val="24"/>
        </w:rPr>
      </w:pPr>
      <w:r w:rsidRPr="008F229A">
        <w:rPr>
          <w:sz w:val="24"/>
          <w:szCs w:val="24"/>
        </w:rPr>
        <w:t>As the use of data and analytics has grown in basketball, so too have the metrics and formulas used to evaluate team performance and strategy. Today, we have access to advanced analytical tools that allow us to break down nearly every aspect of the game.</w:t>
      </w:r>
    </w:p>
    <w:p w14:paraId="77DA4C3E" w14:textId="19862AEB" w:rsidR="00056B3A" w:rsidRPr="008F229A" w:rsidRDefault="005512DE" w:rsidP="005512DE">
      <w:pPr>
        <w:rPr>
          <w:sz w:val="24"/>
          <w:szCs w:val="24"/>
        </w:rPr>
      </w:pPr>
      <w:r w:rsidRPr="008F229A">
        <w:rPr>
          <w:sz w:val="24"/>
          <w:szCs w:val="24"/>
        </w:rPr>
        <w:t>By leveraging box score data—often found in a simple PDF printout—we can apply advanced metrics that offer deeper insight into a team’s tendencies and efficiency. The goal of this section is to apply some of these formulas, many of which are widely used in the NBA, to Hobart’s performance over the past five seasons. Through this lens, we aim to develop a more statistical understanding of the program’s strengths and areas of advantage.</w:t>
      </w:r>
      <w:r w:rsidR="00056B3A" w:rsidRPr="008F229A">
        <w:rPr>
          <w:sz w:val="24"/>
          <w:szCs w:val="24"/>
        </w:rPr>
        <w:t xml:space="preserve"> Please not</w:t>
      </w:r>
      <w:r w:rsidR="00780D79" w:rsidRPr="008F229A">
        <w:rPr>
          <w:sz w:val="24"/>
          <w:szCs w:val="24"/>
        </w:rPr>
        <w:t>e</w:t>
      </w:r>
      <w:r w:rsidR="00056B3A" w:rsidRPr="008F229A">
        <w:rPr>
          <w:sz w:val="24"/>
          <w:szCs w:val="24"/>
        </w:rPr>
        <w:t xml:space="preserve"> that a glossary is attached that details what each of these advanced metrics is measuring</w:t>
      </w:r>
      <w:r w:rsidR="00E975FA">
        <w:rPr>
          <w:sz w:val="24"/>
          <w:szCs w:val="24"/>
        </w:rPr>
        <w:t>.</w:t>
      </w:r>
      <w:r w:rsidR="00E975FA" w:rsidRPr="00E975FA">
        <w:rPr>
          <w:sz w:val="24"/>
          <w:szCs w:val="24"/>
        </w:rPr>
        <w:t xml:space="preserve"> </w:t>
      </w:r>
      <w:r w:rsidR="00E975FA" w:rsidRPr="008366E8">
        <w:rPr>
          <w:sz w:val="24"/>
          <w:szCs w:val="24"/>
        </w:rPr>
        <w:t>Insights are supported with graphics for clarity and professional presentation.</w:t>
      </w:r>
    </w:p>
    <w:p w14:paraId="46342A95" w14:textId="1F27321A" w:rsidR="00E351CA" w:rsidRPr="008F229A" w:rsidRDefault="00E351CA">
      <w:pPr>
        <w:rPr>
          <w:i/>
          <w:iCs/>
          <w:color w:val="BFBFBF" w:themeColor="background1" w:themeShade="BF"/>
          <w:sz w:val="24"/>
          <w:szCs w:val="24"/>
        </w:rPr>
      </w:pPr>
      <w:r w:rsidRPr="008F229A">
        <w:rPr>
          <w:i/>
          <w:iCs/>
          <w:color w:val="BFBFBF" w:themeColor="background1" w:themeShade="BF"/>
          <w:sz w:val="24"/>
          <w:szCs w:val="24"/>
        </w:rPr>
        <w:t xml:space="preserve">*These graphs were made with the assistance of </w:t>
      </w:r>
      <w:proofErr w:type="spellStart"/>
      <w:r w:rsidRPr="008F229A">
        <w:rPr>
          <w:i/>
          <w:iCs/>
          <w:color w:val="BFBFBF" w:themeColor="background1" w:themeShade="BF"/>
          <w:sz w:val="24"/>
          <w:szCs w:val="24"/>
        </w:rPr>
        <w:t>TheBricks</w:t>
      </w:r>
      <w:proofErr w:type="spellEnd"/>
      <w:r w:rsidR="005512DE" w:rsidRPr="008F229A">
        <w:rPr>
          <w:i/>
          <w:iCs/>
          <w:color w:val="BFBFBF" w:themeColor="background1" w:themeShade="BF"/>
          <w:sz w:val="24"/>
          <w:szCs w:val="24"/>
        </w:rPr>
        <w:t>.</w:t>
      </w:r>
    </w:p>
    <w:p w14:paraId="6036B1C2" w14:textId="48AB0CA8" w:rsidR="00D36310" w:rsidRDefault="00000000">
      <w:pPr>
        <w:pStyle w:val="Heading1"/>
        <w:rPr>
          <w:color w:val="F25E16"/>
        </w:rPr>
      </w:pPr>
      <w:r w:rsidRPr="00E351CA">
        <w:rPr>
          <w:color w:val="F25E16"/>
        </w:rPr>
        <w:t xml:space="preserve">1. </w:t>
      </w:r>
      <w:r w:rsidR="00796B6F" w:rsidRPr="00796B6F">
        <w:rPr>
          <w:color w:val="F25E16"/>
        </w:rPr>
        <w:t>Dean Oliver’s Four Factors: A Key to Understanding Winning Basketball</w:t>
      </w:r>
    </w:p>
    <w:p w14:paraId="0E5A1103" w14:textId="77777777" w:rsidR="008F0EF3" w:rsidRPr="008F229A" w:rsidRDefault="008F0EF3" w:rsidP="008F0EF3">
      <w:pPr>
        <w:rPr>
          <w:sz w:val="24"/>
          <w:szCs w:val="24"/>
        </w:rPr>
      </w:pPr>
      <w:r w:rsidRPr="008F229A">
        <w:rPr>
          <w:sz w:val="24"/>
          <w:szCs w:val="24"/>
        </w:rPr>
        <w:t xml:space="preserve">One of the most impactful frameworks in basketball analytics is Dean Oliver’s </w:t>
      </w:r>
      <w:r w:rsidRPr="008F229A">
        <w:rPr>
          <w:i/>
          <w:iCs/>
          <w:sz w:val="24"/>
          <w:szCs w:val="24"/>
        </w:rPr>
        <w:t>Four Factors</w:t>
      </w:r>
      <w:r w:rsidRPr="008F229A">
        <w:rPr>
          <w:sz w:val="24"/>
          <w:szCs w:val="24"/>
        </w:rPr>
        <w:t>. These metrics, derived from box score data, have been statistically shown to correlate most closely with winning outcomes. They offer a lens into both a team’s offensive and defensive performance, revealing strategic strengths and areas for improvement.</w:t>
      </w:r>
    </w:p>
    <w:p w14:paraId="304B5E0F" w14:textId="77777777" w:rsidR="008F0EF3" w:rsidRPr="008F229A" w:rsidRDefault="008F0EF3" w:rsidP="008F0EF3">
      <w:pPr>
        <w:rPr>
          <w:sz w:val="24"/>
          <w:szCs w:val="24"/>
        </w:rPr>
      </w:pPr>
      <w:r w:rsidRPr="008F229A">
        <w:rPr>
          <w:b/>
          <w:bCs/>
          <w:sz w:val="24"/>
          <w:szCs w:val="24"/>
        </w:rPr>
        <w:t>The Four Factors are:</w:t>
      </w:r>
    </w:p>
    <w:p w14:paraId="5664213E" w14:textId="77777777" w:rsidR="008F0EF3" w:rsidRPr="008F229A" w:rsidRDefault="008F0EF3" w:rsidP="008F0EF3">
      <w:pPr>
        <w:numPr>
          <w:ilvl w:val="0"/>
          <w:numId w:val="12"/>
        </w:numPr>
        <w:rPr>
          <w:sz w:val="24"/>
          <w:szCs w:val="24"/>
        </w:rPr>
      </w:pPr>
      <w:r w:rsidRPr="008F229A">
        <w:rPr>
          <w:b/>
          <w:bCs/>
          <w:sz w:val="24"/>
          <w:szCs w:val="24"/>
        </w:rPr>
        <w:t>Effective Field Goal Percentage (</w:t>
      </w:r>
      <w:proofErr w:type="spellStart"/>
      <w:r w:rsidRPr="008F229A">
        <w:rPr>
          <w:b/>
          <w:bCs/>
          <w:sz w:val="24"/>
          <w:szCs w:val="24"/>
        </w:rPr>
        <w:t>eFG</w:t>
      </w:r>
      <w:proofErr w:type="spellEnd"/>
      <w:r w:rsidRPr="008F229A">
        <w:rPr>
          <w:b/>
          <w:bCs/>
          <w:sz w:val="24"/>
          <w:szCs w:val="24"/>
        </w:rPr>
        <w:t>%)</w:t>
      </w:r>
    </w:p>
    <w:p w14:paraId="5A5C1F6A" w14:textId="77777777" w:rsidR="008F0EF3" w:rsidRPr="008F229A" w:rsidRDefault="008F0EF3" w:rsidP="008F0EF3">
      <w:pPr>
        <w:numPr>
          <w:ilvl w:val="0"/>
          <w:numId w:val="12"/>
        </w:numPr>
        <w:rPr>
          <w:sz w:val="24"/>
          <w:szCs w:val="24"/>
        </w:rPr>
      </w:pPr>
      <w:r w:rsidRPr="008F229A">
        <w:rPr>
          <w:b/>
          <w:bCs/>
          <w:sz w:val="24"/>
          <w:szCs w:val="24"/>
        </w:rPr>
        <w:t>Turnover Percentage (TOV%)</w:t>
      </w:r>
    </w:p>
    <w:p w14:paraId="1B2E01D2" w14:textId="77777777" w:rsidR="008F0EF3" w:rsidRPr="008F229A" w:rsidRDefault="008F0EF3" w:rsidP="008F0EF3">
      <w:pPr>
        <w:numPr>
          <w:ilvl w:val="0"/>
          <w:numId w:val="12"/>
        </w:numPr>
        <w:rPr>
          <w:sz w:val="24"/>
          <w:szCs w:val="24"/>
        </w:rPr>
      </w:pPr>
      <w:r w:rsidRPr="008F229A">
        <w:rPr>
          <w:b/>
          <w:bCs/>
          <w:sz w:val="24"/>
          <w:szCs w:val="24"/>
        </w:rPr>
        <w:t>Offensive Rebound Rate (OREB%) / Defensive Rebound Rate (DREB%)</w:t>
      </w:r>
      <w:r w:rsidRPr="008F229A">
        <w:rPr>
          <w:sz w:val="24"/>
          <w:szCs w:val="24"/>
        </w:rPr>
        <w:t xml:space="preserve"> </w:t>
      </w:r>
      <w:r w:rsidRPr="008F229A">
        <w:rPr>
          <w:i/>
          <w:iCs/>
          <w:sz w:val="24"/>
          <w:szCs w:val="24"/>
        </w:rPr>
        <w:t>(opponent)</w:t>
      </w:r>
    </w:p>
    <w:p w14:paraId="4F08A6BC" w14:textId="77777777" w:rsidR="008F0EF3" w:rsidRPr="008F229A" w:rsidRDefault="008F0EF3" w:rsidP="008F0EF3">
      <w:pPr>
        <w:numPr>
          <w:ilvl w:val="0"/>
          <w:numId w:val="12"/>
        </w:numPr>
        <w:rPr>
          <w:sz w:val="24"/>
          <w:szCs w:val="24"/>
        </w:rPr>
      </w:pPr>
      <w:r w:rsidRPr="008F229A">
        <w:rPr>
          <w:b/>
          <w:bCs/>
          <w:sz w:val="24"/>
          <w:szCs w:val="24"/>
        </w:rPr>
        <w:t>Free Throw Rate (FTR)</w:t>
      </w:r>
    </w:p>
    <w:p w14:paraId="19F16526" w14:textId="77777777" w:rsidR="008F0EF3" w:rsidRPr="008F229A" w:rsidRDefault="008F0EF3" w:rsidP="008F0EF3">
      <w:pPr>
        <w:rPr>
          <w:sz w:val="24"/>
          <w:szCs w:val="24"/>
        </w:rPr>
      </w:pPr>
      <w:r w:rsidRPr="008F229A">
        <w:rPr>
          <w:sz w:val="24"/>
          <w:szCs w:val="24"/>
        </w:rPr>
        <w:lastRenderedPageBreak/>
        <w:t>These indicators form the foundation of modern basketball analytics and provide a clear, data-driven way to evaluate team efficiency and style of play.</w:t>
      </w:r>
    </w:p>
    <w:p w14:paraId="5CC21707" w14:textId="77777777" w:rsidR="008F0EF3" w:rsidRPr="008F229A" w:rsidRDefault="008F0EF3" w:rsidP="008F0EF3">
      <w:pPr>
        <w:rPr>
          <w:sz w:val="24"/>
          <w:szCs w:val="24"/>
        </w:rPr>
      </w:pPr>
      <w:r w:rsidRPr="008F229A">
        <w:rPr>
          <w:sz w:val="24"/>
          <w:szCs w:val="24"/>
        </w:rPr>
        <w:t xml:space="preserve">“While these are the four essential factors that decide who wins and </w:t>
      </w:r>
      <w:proofErr w:type="spellStart"/>
      <w:r w:rsidRPr="008F229A">
        <w:rPr>
          <w:sz w:val="24"/>
          <w:szCs w:val="24"/>
        </w:rPr>
        <w:t>loses</w:t>
      </w:r>
      <w:proofErr w:type="spellEnd"/>
      <w:r w:rsidRPr="008F229A">
        <w:rPr>
          <w:sz w:val="24"/>
          <w:szCs w:val="24"/>
        </w:rPr>
        <w:t xml:space="preserve"> in the NBA, the factors do not carry equal weight. Dean Oliver has found the following weights:</w:t>
      </w:r>
    </w:p>
    <w:p w14:paraId="6A24343E" w14:textId="77777777" w:rsidR="00780D79" w:rsidRPr="008F229A" w:rsidRDefault="00780D79" w:rsidP="00780D79">
      <w:pPr>
        <w:rPr>
          <w:sz w:val="24"/>
          <w:szCs w:val="24"/>
        </w:rPr>
        <w:sectPr w:rsidR="00780D79" w:rsidRPr="008F229A" w:rsidSect="00796B6F">
          <w:footerReference w:type="default" r:id="rId8"/>
          <w:pgSz w:w="12240" w:h="15840"/>
          <w:pgMar w:top="1440" w:right="1800" w:bottom="1440" w:left="1800" w:header="720" w:footer="720" w:gutter="0"/>
          <w:cols w:space="720"/>
          <w:docGrid w:linePitch="360"/>
        </w:sectPr>
      </w:pPr>
    </w:p>
    <w:p w14:paraId="1CFA588A" w14:textId="77777777" w:rsidR="008F0EF3" w:rsidRPr="008F229A" w:rsidRDefault="008F0EF3" w:rsidP="008F0EF3">
      <w:pPr>
        <w:numPr>
          <w:ilvl w:val="0"/>
          <w:numId w:val="13"/>
        </w:numPr>
        <w:rPr>
          <w:sz w:val="24"/>
          <w:szCs w:val="24"/>
        </w:rPr>
      </w:pPr>
      <w:r w:rsidRPr="008F229A">
        <w:rPr>
          <w:sz w:val="24"/>
          <w:szCs w:val="24"/>
        </w:rPr>
        <w:t>Shooting (40%)</w:t>
      </w:r>
    </w:p>
    <w:p w14:paraId="4B235650" w14:textId="77777777" w:rsidR="008F0EF3" w:rsidRPr="008F229A" w:rsidRDefault="008F0EF3" w:rsidP="008F0EF3">
      <w:pPr>
        <w:numPr>
          <w:ilvl w:val="0"/>
          <w:numId w:val="13"/>
        </w:numPr>
        <w:rPr>
          <w:sz w:val="24"/>
          <w:szCs w:val="24"/>
        </w:rPr>
      </w:pPr>
      <w:r w:rsidRPr="008F229A">
        <w:rPr>
          <w:sz w:val="24"/>
          <w:szCs w:val="24"/>
        </w:rPr>
        <w:t>Turnovers (25%)</w:t>
      </w:r>
    </w:p>
    <w:p w14:paraId="25B30D09" w14:textId="77777777" w:rsidR="008F0EF3" w:rsidRPr="008F229A" w:rsidRDefault="008F0EF3" w:rsidP="008F0EF3">
      <w:pPr>
        <w:numPr>
          <w:ilvl w:val="0"/>
          <w:numId w:val="13"/>
        </w:numPr>
        <w:rPr>
          <w:sz w:val="24"/>
          <w:szCs w:val="24"/>
        </w:rPr>
      </w:pPr>
      <w:r w:rsidRPr="008F229A">
        <w:rPr>
          <w:sz w:val="24"/>
          <w:szCs w:val="24"/>
        </w:rPr>
        <w:t>Rebounding (20%)</w:t>
      </w:r>
    </w:p>
    <w:p w14:paraId="6107E12B" w14:textId="77777777" w:rsidR="008F0EF3" w:rsidRPr="008F229A" w:rsidRDefault="008F0EF3" w:rsidP="008F0EF3">
      <w:pPr>
        <w:numPr>
          <w:ilvl w:val="0"/>
          <w:numId w:val="13"/>
        </w:numPr>
        <w:rPr>
          <w:sz w:val="24"/>
          <w:szCs w:val="24"/>
        </w:rPr>
      </w:pPr>
      <w:r w:rsidRPr="008F229A">
        <w:rPr>
          <w:sz w:val="24"/>
          <w:szCs w:val="24"/>
        </w:rPr>
        <w:t>Free Throws (15%)”</w:t>
      </w:r>
    </w:p>
    <w:p w14:paraId="09F52FA1" w14:textId="77777777" w:rsidR="008E5560" w:rsidRPr="008F229A" w:rsidRDefault="008E5560" w:rsidP="008F0EF3">
      <w:pPr>
        <w:rPr>
          <w:sz w:val="24"/>
          <w:szCs w:val="24"/>
        </w:rPr>
        <w:sectPr w:rsidR="008E5560" w:rsidRPr="008F229A" w:rsidSect="008E5560">
          <w:type w:val="continuous"/>
          <w:pgSz w:w="12240" w:h="15840"/>
          <w:pgMar w:top="1440" w:right="1800" w:bottom="1440" w:left="1800" w:header="720" w:footer="720" w:gutter="0"/>
          <w:cols w:num="2" w:space="720"/>
          <w:docGrid w:linePitch="360"/>
        </w:sectPr>
      </w:pPr>
    </w:p>
    <w:p w14:paraId="065612BB" w14:textId="045B77B3" w:rsidR="008F0EF3" w:rsidRPr="008F229A" w:rsidRDefault="008F0EF3" w:rsidP="008F0EF3">
      <w:pPr>
        <w:rPr>
          <w:sz w:val="24"/>
          <w:szCs w:val="24"/>
        </w:rPr>
      </w:pPr>
      <w:r w:rsidRPr="008F229A">
        <w:rPr>
          <w:sz w:val="24"/>
          <w:szCs w:val="24"/>
        </w:rPr>
        <w:t>Each factor reflects a unique skill set. While shooting carries the most weight, strong performance across all four categories is key to consistent success. Teams may compensate for weaknesses in one area by excelling in another—for example, dominating the offensive glass on a poor shooting night.</w:t>
      </w:r>
    </w:p>
    <w:p w14:paraId="2F1936D3" w14:textId="045DEEAB" w:rsidR="008F0EF3" w:rsidRPr="008F229A" w:rsidRDefault="008F0EF3" w:rsidP="008F0EF3">
      <w:pPr>
        <w:rPr>
          <w:sz w:val="24"/>
          <w:szCs w:val="24"/>
        </w:rPr>
      </w:pPr>
      <w:r w:rsidRPr="008F229A">
        <w:rPr>
          <w:sz w:val="24"/>
          <w:szCs w:val="24"/>
        </w:rPr>
        <w:t>Following this framework, we assign proportional weight to each factor to better understand their relative impact. A team doesn’t need to be perfect across all metrics, but a strong combination of the four is essential for sustained, competitive success.</w:t>
      </w:r>
    </w:p>
    <w:p w14:paraId="3030863D" w14:textId="77D05501" w:rsidR="00902096" w:rsidRPr="00796B6F" w:rsidRDefault="00902096" w:rsidP="00902096">
      <w:pPr>
        <w:sectPr w:rsidR="00902096" w:rsidRPr="00796B6F" w:rsidSect="008E5560">
          <w:type w:val="continuous"/>
          <w:pgSz w:w="12240" w:h="15840"/>
          <w:pgMar w:top="1440" w:right="1800" w:bottom="1440" w:left="1800" w:header="720" w:footer="720" w:gutter="0"/>
          <w:cols w:space="720"/>
          <w:docGrid w:linePitch="360"/>
        </w:sectPr>
      </w:pPr>
    </w:p>
    <w:p w14:paraId="0DE3A6D6" w14:textId="649AD0AC" w:rsidR="00796B6F" w:rsidRDefault="00096AD9" w:rsidP="0085098B">
      <w:pPr>
        <w:jc w:val="center"/>
      </w:pPr>
      <w:r>
        <w:rPr>
          <w:noProof/>
        </w:rPr>
        <w:drawing>
          <wp:inline distT="0" distB="0" distL="0" distR="0" wp14:anchorId="06B55553" wp14:editId="50F03032">
            <wp:extent cx="4657725" cy="2435602"/>
            <wp:effectExtent l="0" t="0" r="3175" b="3175"/>
            <wp:docPr id="1753767819" name="Picture 7"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7819" name="Picture 7" descr="A graph of a number of people&#10;&#10;AI-generated content may be incorrect."/>
                    <pic:cNvPicPr/>
                  </pic:nvPicPr>
                  <pic:blipFill>
                    <a:blip r:embed="rId9"/>
                    <a:stretch>
                      <a:fillRect/>
                    </a:stretch>
                  </pic:blipFill>
                  <pic:spPr>
                    <a:xfrm>
                      <a:off x="0" y="0"/>
                      <a:ext cx="4657725" cy="2435602"/>
                    </a:xfrm>
                    <a:prstGeom prst="rect">
                      <a:avLst/>
                    </a:prstGeom>
                  </pic:spPr>
                </pic:pic>
              </a:graphicData>
            </a:graphic>
          </wp:inline>
        </w:drawing>
      </w:r>
    </w:p>
    <w:p w14:paraId="40458573" w14:textId="22EDB789" w:rsidR="0085098B" w:rsidRDefault="00096AD9" w:rsidP="001353C5">
      <w:pPr>
        <w:jc w:val="center"/>
      </w:pPr>
      <w:r>
        <w:rPr>
          <w:noProof/>
        </w:rPr>
        <w:lastRenderedPageBreak/>
        <w:drawing>
          <wp:inline distT="0" distB="0" distL="0" distR="0" wp14:anchorId="5BCF8242" wp14:editId="02D3313B">
            <wp:extent cx="4610100" cy="2731911"/>
            <wp:effectExtent l="0" t="0" r="0" b="2540"/>
            <wp:docPr id="131914210" name="Picture 8"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4210" name="Picture 8" descr="A graph with numbers and text&#10;&#10;AI-generated content may be incorrect."/>
                    <pic:cNvPicPr/>
                  </pic:nvPicPr>
                  <pic:blipFill>
                    <a:blip r:embed="rId10"/>
                    <a:stretch>
                      <a:fillRect/>
                    </a:stretch>
                  </pic:blipFill>
                  <pic:spPr>
                    <a:xfrm>
                      <a:off x="0" y="0"/>
                      <a:ext cx="4610100" cy="2731911"/>
                    </a:xfrm>
                    <a:prstGeom prst="rect">
                      <a:avLst/>
                    </a:prstGeom>
                  </pic:spPr>
                </pic:pic>
              </a:graphicData>
            </a:graphic>
          </wp:inline>
        </w:drawing>
      </w:r>
    </w:p>
    <w:p w14:paraId="787F0B5B" w14:textId="77777777" w:rsidR="008F0EF3" w:rsidRPr="008F229A" w:rsidRDefault="008F0EF3" w:rsidP="008F0EF3">
      <w:pPr>
        <w:rPr>
          <w:sz w:val="24"/>
          <w:szCs w:val="24"/>
        </w:rPr>
      </w:pPr>
      <w:r w:rsidRPr="008F229A">
        <w:rPr>
          <w:sz w:val="24"/>
          <w:szCs w:val="24"/>
        </w:rPr>
        <w:t xml:space="preserve">When evaluating the charts above, we see that Hobart held an advantage in </w:t>
      </w:r>
      <w:r w:rsidRPr="008F229A">
        <w:rPr>
          <w:b/>
          <w:bCs/>
          <w:sz w:val="24"/>
          <w:szCs w:val="24"/>
        </w:rPr>
        <w:t>Effective FG Percentage</w:t>
      </w:r>
      <w:r w:rsidRPr="008F229A">
        <w:rPr>
          <w:sz w:val="24"/>
          <w:szCs w:val="24"/>
        </w:rPr>
        <w:t xml:space="preserve"> in four of the last five seasons. Over the past two years, the program also improved its edge in </w:t>
      </w:r>
      <w:r w:rsidRPr="008F229A">
        <w:rPr>
          <w:b/>
          <w:bCs/>
          <w:sz w:val="24"/>
          <w:szCs w:val="24"/>
        </w:rPr>
        <w:t>Turnover Percentage</w:t>
      </w:r>
      <w:r w:rsidRPr="008F229A">
        <w:rPr>
          <w:sz w:val="24"/>
          <w:szCs w:val="24"/>
        </w:rPr>
        <w:t>, creating a positive margin in that category.</w:t>
      </w:r>
    </w:p>
    <w:p w14:paraId="76546D3C" w14:textId="6364860A" w:rsidR="0085098B" w:rsidRPr="008F229A" w:rsidRDefault="008F0EF3" w:rsidP="00796B6F">
      <w:pPr>
        <w:rPr>
          <w:sz w:val="24"/>
          <w:szCs w:val="24"/>
        </w:rPr>
      </w:pPr>
      <w:r w:rsidRPr="008F229A">
        <w:rPr>
          <w:sz w:val="24"/>
          <w:szCs w:val="24"/>
        </w:rPr>
        <w:t xml:space="preserve">In terms of </w:t>
      </w:r>
      <w:r w:rsidRPr="008F229A">
        <w:rPr>
          <w:b/>
          <w:bCs/>
          <w:sz w:val="24"/>
          <w:szCs w:val="24"/>
        </w:rPr>
        <w:t>Free Throw Rate</w:t>
      </w:r>
      <w:r w:rsidRPr="008F229A">
        <w:rPr>
          <w:sz w:val="24"/>
          <w:szCs w:val="24"/>
        </w:rPr>
        <w:t>, Hobart had the upper hand in three of the five seasons when compared to its opponents.</w:t>
      </w:r>
    </w:p>
    <w:p w14:paraId="44E2F979" w14:textId="7615A272" w:rsidR="000F14B4" w:rsidRPr="00CD6CAD" w:rsidRDefault="00796B6F" w:rsidP="00CD6CAD">
      <w:pPr>
        <w:pStyle w:val="Heading1"/>
        <w:rPr>
          <w:color w:val="F25E16"/>
        </w:rPr>
      </w:pPr>
      <w:r>
        <w:rPr>
          <w:color w:val="F25E16"/>
        </w:rPr>
        <w:t>2</w:t>
      </w:r>
      <w:r w:rsidR="00AD1D31" w:rsidRPr="00E351CA">
        <w:rPr>
          <w:color w:val="F25E16"/>
        </w:rPr>
        <w:t xml:space="preserve">. </w:t>
      </w:r>
      <w:r w:rsidR="004E5BDC">
        <w:rPr>
          <w:color w:val="F25E16"/>
        </w:rPr>
        <w:t>Shooting / Scoring</w:t>
      </w:r>
    </w:p>
    <w:tbl>
      <w:tblPr>
        <w:tblStyle w:val="GridTable4-Accent6"/>
        <w:tblW w:w="7000" w:type="dxa"/>
        <w:tblLook w:val="04A0" w:firstRow="1" w:lastRow="0" w:firstColumn="1" w:lastColumn="0" w:noHBand="0" w:noVBand="1"/>
      </w:tblPr>
      <w:tblGrid>
        <w:gridCol w:w="1440"/>
        <w:gridCol w:w="1640"/>
        <w:gridCol w:w="2220"/>
        <w:gridCol w:w="1700"/>
      </w:tblGrid>
      <w:tr w:rsidR="00831AAD" w:rsidRPr="00831AAD" w14:paraId="10F9B90F" w14:textId="77777777" w:rsidTr="0022327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421790E" w14:textId="77777777" w:rsidR="00831AAD" w:rsidRPr="00831AAD" w:rsidRDefault="00831AAD" w:rsidP="00831AAD">
            <w:pPr>
              <w:rPr>
                <w:rFonts w:ascii="Aptos Narrow" w:eastAsia="Times New Roman" w:hAnsi="Aptos Narrow" w:cs="Times New Roman"/>
                <w:color w:val="FFFFFF"/>
                <w:sz w:val="24"/>
                <w:szCs w:val="24"/>
              </w:rPr>
            </w:pPr>
            <w:r w:rsidRPr="00831AAD">
              <w:rPr>
                <w:rFonts w:ascii="Aptos Narrow" w:eastAsia="Times New Roman" w:hAnsi="Aptos Narrow" w:cs="Times New Roman"/>
                <w:color w:val="FFFFFF"/>
                <w:sz w:val="24"/>
                <w:szCs w:val="24"/>
              </w:rPr>
              <w:t>season</w:t>
            </w:r>
          </w:p>
        </w:tc>
        <w:tc>
          <w:tcPr>
            <w:tcW w:w="1640" w:type="dxa"/>
            <w:noWrap/>
            <w:hideMark/>
          </w:tcPr>
          <w:p w14:paraId="232DF8DC" w14:textId="77777777" w:rsidR="00831AAD" w:rsidRPr="00831AAD" w:rsidRDefault="00831AAD" w:rsidP="00831AA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sz w:val="24"/>
                <w:szCs w:val="24"/>
              </w:rPr>
            </w:pPr>
            <w:proofErr w:type="spellStart"/>
            <w:r w:rsidRPr="00831AAD">
              <w:rPr>
                <w:rFonts w:ascii="Aptos Narrow" w:eastAsia="Times New Roman" w:hAnsi="Aptos Narrow" w:cs="Times New Roman"/>
                <w:color w:val="FFFFFF"/>
                <w:sz w:val="24"/>
                <w:szCs w:val="24"/>
              </w:rPr>
              <w:t>ts_pct</w:t>
            </w:r>
            <w:proofErr w:type="spellEnd"/>
          </w:p>
        </w:tc>
        <w:tc>
          <w:tcPr>
            <w:tcW w:w="2220" w:type="dxa"/>
            <w:noWrap/>
            <w:hideMark/>
          </w:tcPr>
          <w:p w14:paraId="35B0E38B" w14:textId="70C8455F" w:rsidR="00831AAD" w:rsidRPr="00831AAD" w:rsidRDefault="00831AAD" w:rsidP="00831AA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sz w:val="24"/>
                <w:szCs w:val="24"/>
              </w:rPr>
            </w:pPr>
            <w:proofErr w:type="spellStart"/>
            <w:r w:rsidRPr="00831AAD">
              <w:rPr>
                <w:rFonts w:ascii="Aptos Narrow" w:eastAsia="Times New Roman" w:hAnsi="Aptos Narrow" w:cs="Times New Roman"/>
                <w:color w:val="FFFFFF"/>
                <w:sz w:val="24"/>
                <w:szCs w:val="24"/>
              </w:rPr>
              <w:t>off_rating</w:t>
            </w:r>
            <w:proofErr w:type="spellEnd"/>
            <w:r w:rsidR="00796B6F">
              <w:rPr>
                <w:rFonts w:ascii="Aptos Narrow" w:eastAsia="Times New Roman" w:hAnsi="Aptos Narrow" w:cs="Times New Roman"/>
                <w:b w:val="0"/>
                <w:bCs w:val="0"/>
                <w:color w:val="FFFFFF"/>
                <w:sz w:val="24"/>
                <w:szCs w:val="24"/>
              </w:rPr>
              <w:t xml:space="preserve"> (PPP)</w:t>
            </w:r>
          </w:p>
        </w:tc>
        <w:tc>
          <w:tcPr>
            <w:tcW w:w="1700" w:type="dxa"/>
            <w:noWrap/>
            <w:hideMark/>
          </w:tcPr>
          <w:p w14:paraId="5E161A3F" w14:textId="77777777" w:rsidR="00831AAD" w:rsidRPr="00831AAD" w:rsidRDefault="00831AAD" w:rsidP="00831AAD">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sz w:val="24"/>
                <w:szCs w:val="24"/>
              </w:rPr>
            </w:pPr>
            <w:proofErr w:type="spellStart"/>
            <w:r w:rsidRPr="00831AAD">
              <w:rPr>
                <w:rFonts w:ascii="Aptos Narrow" w:eastAsia="Times New Roman" w:hAnsi="Aptos Narrow" w:cs="Times New Roman"/>
                <w:color w:val="FFFFFF"/>
                <w:sz w:val="24"/>
                <w:szCs w:val="24"/>
              </w:rPr>
              <w:t>play_pct</w:t>
            </w:r>
            <w:proofErr w:type="spellEnd"/>
          </w:p>
        </w:tc>
      </w:tr>
      <w:tr w:rsidR="00831AAD" w:rsidRPr="00831AAD" w14:paraId="200176C9" w14:textId="77777777" w:rsidTr="0022327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73D2394" w14:textId="77777777" w:rsidR="00831AAD" w:rsidRPr="00831AAD" w:rsidRDefault="00831AAD" w:rsidP="00831AAD">
            <w:pPr>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2019 - 2020</w:t>
            </w:r>
          </w:p>
        </w:tc>
        <w:tc>
          <w:tcPr>
            <w:tcW w:w="1640" w:type="dxa"/>
            <w:noWrap/>
            <w:hideMark/>
          </w:tcPr>
          <w:p w14:paraId="5F8AC845"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55.7%</w:t>
            </w:r>
          </w:p>
        </w:tc>
        <w:tc>
          <w:tcPr>
            <w:tcW w:w="2220" w:type="dxa"/>
            <w:noWrap/>
            <w:hideMark/>
          </w:tcPr>
          <w:p w14:paraId="6A31E14C"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102.66</w:t>
            </w:r>
          </w:p>
        </w:tc>
        <w:tc>
          <w:tcPr>
            <w:tcW w:w="1700" w:type="dxa"/>
            <w:noWrap/>
            <w:hideMark/>
          </w:tcPr>
          <w:p w14:paraId="169CFF79"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41.3%</w:t>
            </w:r>
          </w:p>
        </w:tc>
      </w:tr>
      <w:tr w:rsidR="00831AAD" w:rsidRPr="00831AAD" w14:paraId="5318A1B7" w14:textId="77777777" w:rsidTr="0022327E">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36CED7" w14:textId="77777777" w:rsidR="00831AAD" w:rsidRPr="00831AAD" w:rsidRDefault="00831AAD" w:rsidP="00831AAD">
            <w:pPr>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2021 - 2022</w:t>
            </w:r>
          </w:p>
        </w:tc>
        <w:tc>
          <w:tcPr>
            <w:tcW w:w="1640" w:type="dxa"/>
            <w:noWrap/>
            <w:hideMark/>
          </w:tcPr>
          <w:p w14:paraId="18A9F56F" w14:textId="77777777" w:rsidR="00831AAD" w:rsidRPr="00831AAD" w:rsidRDefault="00831AAD" w:rsidP="00831A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53.4%</w:t>
            </w:r>
          </w:p>
        </w:tc>
        <w:tc>
          <w:tcPr>
            <w:tcW w:w="2220" w:type="dxa"/>
            <w:noWrap/>
            <w:hideMark/>
          </w:tcPr>
          <w:p w14:paraId="4B396962" w14:textId="77777777" w:rsidR="00831AAD" w:rsidRPr="00831AAD" w:rsidRDefault="00831AAD" w:rsidP="00831A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100.66</w:t>
            </w:r>
          </w:p>
        </w:tc>
        <w:tc>
          <w:tcPr>
            <w:tcW w:w="1700" w:type="dxa"/>
            <w:noWrap/>
            <w:hideMark/>
          </w:tcPr>
          <w:p w14:paraId="748CA812" w14:textId="77777777" w:rsidR="00831AAD" w:rsidRPr="00831AAD" w:rsidRDefault="00831AAD" w:rsidP="00831A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42.1%</w:t>
            </w:r>
          </w:p>
        </w:tc>
      </w:tr>
      <w:tr w:rsidR="00831AAD" w:rsidRPr="00831AAD" w14:paraId="30BDF962" w14:textId="77777777" w:rsidTr="0022327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00C7F6" w14:textId="77777777" w:rsidR="00831AAD" w:rsidRPr="00831AAD" w:rsidRDefault="00831AAD" w:rsidP="00831AAD">
            <w:pPr>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2022 - 2023</w:t>
            </w:r>
          </w:p>
        </w:tc>
        <w:tc>
          <w:tcPr>
            <w:tcW w:w="1640" w:type="dxa"/>
            <w:noWrap/>
            <w:hideMark/>
          </w:tcPr>
          <w:p w14:paraId="00042A72"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55.0%</w:t>
            </w:r>
          </w:p>
        </w:tc>
        <w:tc>
          <w:tcPr>
            <w:tcW w:w="2220" w:type="dxa"/>
            <w:noWrap/>
            <w:hideMark/>
          </w:tcPr>
          <w:p w14:paraId="3ADD177A"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107.4</w:t>
            </w:r>
          </w:p>
        </w:tc>
        <w:tc>
          <w:tcPr>
            <w:tcW w:w="1700" w:type="dxa"/>
            <w:noWrap/>
            <w:hideMark/>
          </w:tcPr>
          <w:p w14:paraId="4EDA88C6"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46.1%</w:t>
            </w:r>
          </w:p>
        </w:tc>
      </w:tr>
      <w:tr w:rsidR="00831AAD" w:rsidRPr="00831AAD" w14:paraId="7210BB2D" w14:textId="77777777" w:rsidTr="0022327E">
        <w:trPr>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314FC32" w14:textId="77777777" w:rsidR="00831AAD" w:rsidRPr="00831AAD" w:rsidRDefault="00831AAD" w:rsidP="00831AAD">
            <w:pPr>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2023 - 2024</w:t>
            </w:r>
          </w:p>
        </w:tc>
        <w:tc>
          <w:tcPr>
            <w:tcW w:w="1640" w:type="dxa"/>
            <w:noWrap/>
            <w:hideMark/>
          </w:tcPr>
          <w:p w14:paraId="571BCA9A" w14:textId="77777777" w:rsidR="00831AAD" w:rsidRPr="00831AAD" w:rsidRDefault="00831AAD" w:rsidP="00831A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52.4%</w:t>
            </w:r>
          </w:p>
        </w:tc>
        <w:tc>
          <w:tcPr>
            <w:tcW w:w="2220" w:type="dxa"/>
            <w:noWrap/>
            <w:hideMark/>
          </w:tcPr>
          <w:p w14:paraId="603857E1" w14:textId="77777777" w:rsidR="00831AAD" w:rsidRPr="00831AAD" w:rsidRDefault="00831AAD" w:rsidP="00831A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103.66</w:t>
            </w:r>
          </w:p>
        </w:tc>
        <w:tc>
          <w:tcPr>
            <w:tcW w:w="1700" w:type="dxa"/>
            <w:noWrap/>
            <w:hideMark/>
          </w:tcPr>
          <w:p w14:paraId="6C902CBA" w14:textId="77777777" w:rsidR="00831AAD" w:rsidRPr="00831AAD" w:rsidRDefault="00831AAD" w:rsidP="00831AA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43.6%</w:t>
            </w:r>
          </w:p>
        </w:tc>
      </w:tr>
      <w:tr w:rsidR="00831AAD" w:rsidRPr="00831AAD" w14:paraId="7C797335" w14:textId="77777777" w:rsidTr="0022327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6E9A4DD" w14:textId="77777777" w:rsidR="00831AAD" w:rsidRPr="00831AAD" w:rsidRDefault="00831AAD" w:rsidP="00831AAD">
            <w:pPr>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2024 - 2025</w:t>
            </w:r>
          </w:p>
        </w:tc>
        <w:tc>
          <w:tcPr>
            <w:tcW w:w="1640" w:type="dxa"/>
            <w:noWrap/>
            <w:hideMark/>
          </w:tcPr>
          <w:p w14:paraId="4C665AF9"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50.8%</w:t>
            </w:r>
          </w:p>
        </w:tc>
        <w:tc>
          <w:tcPr>
            <w:tcW w:w="2220" w:type="dxa"/>
            <w:noWrap/>
            <w:hideMark/>
          </w:tcPr>
          <w:p w14:paraId="0DBCCE23"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99.32</w:t>
            </w:r>
          </w:p>
        </w:tc>
        <w:tc>
          <w:tcPr>
            <w:tcW w:w="1700" w:type="dxa"/>
            <w:noWrap/>
            <w:hideMark/>
          </w:tcPr>
          <w:p w14:paraId="1F3CD9BA" w14:textId="77777777" w:rsidR="00831AAD" w:rsidRPr="00831AAD" w:rsidRDefault="00831AAD" w:rsidP="00831AA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4"/>
                <w:szCs w:val="24"/>
              </w:rPr>
            </w:pPr>
            <w:r w:rsidRPr="00831AAD">
              <w:rPr>
                <w:rFonts w:ascii="Aptos Narrow" w:eastAsia="Times New Roman" w:hAnsi="Aptos Narrow" w:cs="Times New Roman"/>
                <w:color w:val="000000"/>
                <w:sz w:val="24"/>
                <w:szCs w:val="24"/>
              </w:rPr>
              <w:t>41.7%</w:t>
            </w:r>
          </w:p>
        </w:tc>
      </w:tr>
    </w:tbl>
    <w:p w14:paraId="305612CC" w14:textId="77777777" w:rsidR="000F14B4" w:rsidRDefault="000F14B4" w:rsidP="000F14B4"/>
    <w:p w14:paraId="7B444774" w14:textId="77777777" w:rsidR="000F14B4" w:rsidRPr="008F229A" w:rsidRDefault="000F14B4" w:rsidP="000F14B4">
      <w:pPr>
        <w:rPr>
          <w:sz w:val="24"/>
          <w:szCs w:val="24"/>
        </w:rPr>
      </w:pPr>
      <w:r w:rsidRPr="008F229A">
        <w:rPr>
          <w:sz w:val="24"/>
          <w:szCs w:val="24"/>
        </w:rPr>
        <w:t xml:space="preserve">The next set of data points addresses some of the more advanced offensive shooting metrics tracked over the past five seasons. When analyzing </w:t>
      </w:r>
      <w:r w:rsidRPr="008F229A">
        <w:rPr>
          <w:b/>
          <w:bCs/>
          <w:sz w:val="24"/>
          <w:szCs w:val="24"/>
        </w:rPr>
        <w:t>True Shooting Percentage (</w:t>
      </w:r>
      <w:proofErr w:type="spellStart"/>
      <w:r w:rsidRPr="008F229A">
        <w:rPr>
          <w:b/>
          <w:bCs/>
          <w:sz w:val="24"/>
          <w:szCs w:val="24"/>
        </w:rPr>
        <w:t>ts_pct</w:t>
      </w:r>
      <w:proofErr w:type="spellEnd"/>
      <w:r w:rsidRPr="008F229A">
        <w:rPr>
          <w:b/>
          <w:bCs/>
          <w:sz w:val="24"/>
          <w:szCs w:val="24"/>
        </w:rPr>
        <w:t>)</w:t>
      </w:r>
      <w:r w:rsidRPr="008F229A">
        <w:rPr>
          <w:sz w:val="24"/>
          <w:szCs w:val="24"/>
        </w:rPr>
        <w:t xml:space="preserve">, </w:t>
      </w:r>
      <w:r w:rsidRPr="008F229A">
        <w:rPr>
          <w:b/>
          <w:bCs/>
          <w:sz w:val="24"/>
          <w:szCs w:val="24"/>
        </w:rPr>
        <w:t>Offensive Rating (PPP)</w:t>
      </w:r>
      <w:r w:rsidRPr="008F229A">
        <w:rPr>
          <w:sz w:val="24"/>
          <w:szCs w:val="24"/>
        </w:rPr>
        <w:t xml:space="preserve">, and </w:t>
      </w:r>
      <w:r w:rsidRPr="008F229A">
        <w:rPr>
          <w:b/>
          <w:bCs/>
          <w:sz w:val="24"/>
          <w:szCs w:val="24"/>
        </w:rPr>
        <w:t>Play Percentage (</w:t>
      </w:r>
      <w:proofErr w:type="spellStart"/>
      <w:r w:rsidRPr="008F229A">
        <w:rPr>
          <w:b/>
          <w:bCs/>
          <w:sz w:val="24"/>
          <w:szCs w:val="24"/>
        </w:rPr>
        <w:t>play_pct</w:t>
      </w:r>
      <w:proofErr w:type="spellEnd"/>
      <w:r w:rsidRPr="008F229A">
        <w:rPr>
          <w:b/>
          <w:bCs/>
          <w:sz w:val="24"/>
          <w:szCs w:val="24"/>
        </w:rPr>
        <w:t>)</w:t>
      </w:r>
      <w:r w:rsidRPr="008F229A">
        <w:rPr>
          <w:sz w:val="24"/>
          <w:szCs w:val="24"/>
        </w:rPr>
        <w:t xml:space="preserve">, the </w:t>
      </w:r>
      <w:r w:rsidRPr="008F229A">
        <w:rPr>
          <w:b/>
          <w:bCs/>
          <w:sz w:val="24"/>
          <w:szCs w:val="24"/>
        </w:rPr>
        <w:t>2022–2023</w:t>
      </w:r>
      <w:r w:rsidRPr="008F229A">
        <w:rPr>
          <w:sz w:val="24"/>
          <w:szCs w:val="24"/>
        </w:rPr>
        <w:t xml:space="preserve"> season stands out. That team led all seasons in both </w:t>
      </w:r>
      <w:r w:rsidRPr="008F229A">
        <w:rPr>
          <w:b/>
          <w:bCs/>
          <w:sz w:val="24"/>
          <w:szCs w:val="24"/>
        </w:rPr>
        <w:t>offensive rating</w:t>
      </w:r>
      <w:r w:rsidRPr="008F229A">
        <w:rPr>
          <w:sz w:val="24"/>
          <w:szCs w:val="24"/>
        </w:rPr>
        <w:t xml:space="preserve"> and </w:t>
      </w:r>
      <w:r w:rsidRPr="008F229A">
        <w:rPr>
          <w:b/>
          <w:bCs/>
          <w:sz w:val="24"/>
          <w:szCs w:val="24"/>
        </w:rPr>
        <w:t>play percentage</w:t>
      </w:r>
      <w:r w:rsidRPr="008F229A">
        <w:rPr>
          <w:sz w:val="24"/>
          <w:szCs w:val="24"/>
        </w:rPr>
        <w:t>, indicating it was the most efficient and productive offensive unit in recent years.</w:t>
      </w:r>
    </w:p>
    <w:p w14:paraId="057627F4" w14:textId="77777777" w:rsidR="000F14B4" w:rsidRPr="008F229A" w:rsidRDefault="000F14B4" w:rsidP="000F14B4">
      <w:pPr>
        <w:rPr>
          <w:sz w:val="24"/>
          <w:szCs w:val="24"/>
        </w:rPr>
      </w:pPr>
      <w:r w:rsidRPr="008F229A">
        <w:rPr>
          <w:sz w:val="24"/>
          <w:szCs w:val="24"/>
        </w:rPr>
        <w:t xml:space="preserve">While each of these metrics plays a valuable role in assessing team performance, </w:t>
      </w:r>
      <w:r w:rsidRPr="008F229A">
        <w:rPr>
          <w:b/>
          <w:bCs/>
          <w:sz w:val="24"/>
          <w:szCs w:val="24"/>
        </w:rPr>
        <w:t>Play Percentage</w:t>
      </w:r>
      <w:r w:rsidRPr="008F229A">
        <w:rPr>
          <w:sz w:val="24"/>
          <w:szCs w:val="24"/>
        </w:rPr>
        <w:t xml:space="preserve"> deserves particular attention. As noted in the glossary, this stat </w:t>
      </w:r>
      <w:r w:rsidRPr="008F229A">
        <w:rPr>
          <w:sz w:val="24"/>
          <w:szCs w:val="24"/>
        </w:rPr>
        <w:lastRenderedPageBreak/>
        <w:t>captures how often a team successfully ends a possession with a made shot, while adjusting for offensive rebounds and turnovers. It reflects not only shooting efficiency, but also how consistently a team executes in live possessions.</w:t>
      </w:r>
    </w:p>
    <w:p w14:paraId="20E76407" w14:textId="77777777" w:rsidR="000F14B4" w:rsidRPr="008F229A" w:rsidRDefault="000F14B4" w:rsidP="000F14B4">
      <w:pPr>
        <w:rPr>
          <w:sz w:val="24"/>
          <w:szCs w:val="24"/>
        </w:rPr>
      </w:pPr>
      <w:r w:rsidRPr="008F229A">
        <w:rPr>
          <w:sz w:val="24"/>
          <w:szCs w:val="24"/>
        </w:rPr>
        <w:t xml:space="preserve">Interestingly, while the </w:t>
      </w:r>
      <w:r w:rsidRPr="008F229A">
        <w:rPr>
          <w:b/>
          <w:bCs/>
          <w:sz w:val="24"/>
          <w:szCs w:val="24"/>
        </w:rPr>
        <w:t>2022–2023</w:t>
      </w:r>
      <w:r w:rsidRPr="008F229A">
        <w:rPr>
          <w:sz w:val="24"/>
          <w:szCs w:val="24"/>
        </w:rPr>
        <w:t xml:space="preserve"> team didn’t post the highest </w:t>
      </w:r>
      <w:r w:rsidRPr="008F229A">
        <w:rPr>
          <w:b/>
          <w:bCs/>
          <w:sz w:val="24"/>
          <w:szCs w:val="24"/>
        </w:rPr>
        <w:t>True Shooting Percentage</w:t>
      </w:r>
      <w:r w:rsidRPr="008F229A">
        <w:rPr>
          <w:sz w:val="24"/>
          <w:szCs w:val="24"/>
        </w:rPr>
        <w:t xml:space="preserve"> (that honor goes to the </w:t>
      </w:r>
      <w:r w:rsidRPr="008F229A">
        <w:rPr>
          <w:b/>
          <w:bCs/>
          <w:sz w:val="24"/>
          <w:szCs w:val="24"/>
        </w:rPr>
        <w:t>2019–2020</w:t>
      </w:r>
      <w:r w:rsidRPr="008F229A">
        <w:rPr>
          <w:sz w:val="24"/>
          <w:szCs w:val="24"/>
        </w:rPr>
        <w:t xml:space="preserve"> team at 55.7%), it still achieved the highest </w:t>
      </w:r>
      <w:r w:rsidRPr="008F229A">
        <w:rPr>
          <w:b/>
          <w:bCs/>
          <w:sz w:val="24"/>
          <w:szCs w:val="24"/>
        </w:rPr>
        <w:t>Offensive Rating</w:t>
      </w:r>
      <w:r w:rsidRPr="008F229A">
        <w:rPr>
          <w:sz w:val="24"/>
          <w:szCs w:val="24"/>
        </w:rPr>
        <w:t xml:space="preserve"> (107.4) and </w:t>
      </w:r>
      <w:r w:rsidRPr="008F229A">
        <w:rPr>
          <w:b/>
          <w:bCs/>
          <w:sz w:val="24"/>
          <w:szCs w:val="24"/>
        </w:rPr>
        <w:t>Play Percentage</w:t>
      </w:r>
      <w:r w:rsidRPr="008F229A">
        <w:rPr>
          <w:sz w:val="24"/>
          <w:szCs w:val="24"/>
        </w:rPr>
        <w:t xml:space="preserve"> (46.1%). This suggests that although their shot efficiency was slightly lower, their overall possession management and ability to finish plays was elite. In short, they squeezed more out of every opportunity.</w:t>
      </w:r>
    </w:p>
    <w:p w14:paraId="12F746C2" w14:textId="723972A7" w:rsidR="00DA5349" w:rsidRPr="000F14B4" w:rsidRDefault="000F14B4" w:rsidP="000F14B4">
      <w:r w:rsidRPr="008F229A">
        <w:rPr>
          <w:sz w:val="24"/>
          <w:szCs w:val="24"/>
        </w:rPr>
        <w:t xml:space="preserve">Meanwhile, the </w:t>
      </w:r>
      <w:r w:rsidRPr="008F229A">
        <w:rPr>
          <w:b/>
          <w:bCs/>
          <w:sz w:val="24"/>
          <w:szCs w:val="24"/>
        </w:rPr>
        <w:t>2024–2025</w:t>
      </w:r>
      <w:r w:rsidRPr="008F229A">
        <w:rPr>
          <w:sz w:val="24"/>
          <w:szCs w:val="24"/>
        </w:rPr>
        <w:t xml:space="preserve"> season showed the lowest values in all three categories, pointing to a notable drop in offensive performance and efficiency compared to earlier years.</w:t>
      </w:r>
    </w:p>
    <w:p w14:paraId="0D741619" w14:textId="3362359A" w:rsidR="00DA5349" w:rsidRDefault="00796B6F" w:rsidP="00DA5349">
      <w:pPr>
        <w:pStyle w:val="Heading1"/>
        <w:rPr>
          <w:color w:val="F25E16"/>
        </w:rPr>
      </w:pPr>
      <w:r>
        <w:rPr>
          <w:color w:val="F25E16"/>
        </w:rPr>
        <w:t>3</w:t>
      </w:r>
      <w:r w:rsidRPr="00E351CA">
        <w:rPr>
          <w:color w:val="F25E16"/>
        </w:rPr>
        <w:t xml:space="preserve">. </w:t>
      </w:r>
      <w:r>
        <w:rPr>
          <w:color w:val="F25E16"/>
        </w:rPr>
        <w:t>Ball Security</w:t>
      </w:r>
    </w:p>
    <w:p w14:paraId="1EDD166A" w14:textId="4E84136D" w:rsidR="00DA5349" w:rsidRDefault="00DA5349" w:rsidP="00DA5349">
      <w:r w:rsidRPr="008F229A">
        <w:rPr>
          <w:sz w:val="24"/>
          <w:szCs w:val="24"/>
        </w:rPr>
        <w:t>An important quality of any effective offense is the ability to share the ball and make smart decisions while limiting turnovers. The chart below highlights three key metrics—</w:t>
      </w:r>
      <w:r w:rsidRPr="008F229A">
        <w:rPr>
          <w:b/>
          <w:bCs/>
          <w:sz w:val="24"/>
          <w:szCs w:val="24"/>
        </w:rPr>
        <w:t>Turnover Percentage (TO%)</w:t>
      </w:r>
      <w:r w:rsidRPr="008F229A">
        <w:rPr>
          <w:sz w:val="24"/>
          <w:szCs w:val="24"/>
        </w:rPr>
        <w:t xml:space="preserve">, </w:t>
      </w:r>
      <w:r w:rsidRPr="008F229A">
        <w:rPr>
          <w:b/>
          <w:bCs/>
          <w:sz w:val="24"/>
          <w:szCs w:val="24"/>
        </w:rPr>
        <w:t>Assist-to-Turnover Ratio (AST/TO)</w:t>
      </w:r>
      <w:r w:rsidRPr="008F229A">
        <w:rPr>
          <w:sz w:val="24"/>
          <w:szCs w:val="24"/>
        </w:rPr>
        <w:t xml:space="preserve">, and </w:t>
      </w:r>
      <w:r w:rsidRPr="008F229A">
        <w:rPr>
          <w:b/>
          <w:bCs/>
          <w:sz w:val="24"/>
          <w:szCs w:val="24"/>
        </w:rPr>
        <w:t>Assist Percentage (AST%)</w:t>
      </w:r>
      <w:r w:rsidRPr="008F229A">
        <w:rPr>
          <w:sz w:val="24"/>
          <w:szCs w:val="24"/>
        </w:rPr>
        <w:t>—to evaluate Hobart’s passing and ball security from 2019 to 2025.</w:t>
      </w:r>
      <w:r>
        <w:rPr>
          <w:noProof/>
          <w:color w:val="F25E16"/>
        </w:rPr>
        <w:drawing>
          <wp:inline distT="0" distB="0" distL="0" distR="0" wp14:anchorId="2374FC42" wp14:editId="2DF630E7">
            <wp:extent cx="5486400" cy="3138170"/>
            <wp:effectExtent l="0" t="0" r="0" b="0"/>
            <wp:docPr id="1740987656" name="Picture 1" descr="A graph of security breakdow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87656" name="Picture 1" descr="A graph of security breakdown&#10;&#10;AI-generated content may be incorrect."/>
                    <pic:cNvPicPr/>
                  </pic:nvPicPr>
                  <pic:blipFill>
                    <a:blip r:embed="rId11"/>
                    <a:stretch>
                      <a:fillRect/>
                    </a:stretch>
                  </pic:blipFill>
                  <pic:spPr>
                    <a:xfrm>
                      <a:off x="0" y="0"/>
                      <a:ext cx="5486400" cy="3138170"/>
                    </a:xfrm>
                    <a:prstGeom prst="rect">
                      <a:avLst/>
                    </a:prstGeom>
                  </pic:spPr>
                </pic:pic>
              </a:graphicData>
            </a:graphic>
          </wp:inline>
        </w:drawing>
      </w:r>
    </w:p>
    <w:p w14:paraId="5CD490DC" w14:textId="77777777" w:rsidR="00DA5349" w:rsidRPr="008F229A" w:rsidRDefault="00DA5349" w:rsidP="00BA5A88">
      <w:pPr>
        <w:pStyle w:val="Heading1"/>
        <w:rPr>
          <w:rFonts w:asciiTheme="minorHAnsi" w:eastAsiaTheme="minorEastAsia" w:hAnsiTheme="minorHAnsi" w:cstheme="minorBidi"/>
          <w:b w:val="0"/>
          <w:bCs w:val="0"/>
          <w:color w:val="auto"/>
          <w:sz w:val="24"/>
          <w:szCs w:val="24"/>
        </w:rPr>
      </w:pPr>
      <w:r w:rsidRPr="008F229A">
        <w:rPr>
          <w:rFonts w:asciiTheme="minorHAnsi" w:eastAsiaTheme="minorEastAsia" w:hAnsiTheme="minorHAnsi" w:cstheme="minorBidi"/>
          <w:b w:val="0"/>
          <w:bCs w:val="0"/>
          <w:color w:val="auto"/>
          <w:sz w:val="24"/>
          <w:szCs w:val="24"/>
        </w:rPr>
        <w:lastRenderedPageBreak/>
        <w:t>Over the past three seasons, Hobart has shown meaningful improvement in Assist-to-Turnover Ratio, along with a noticeable reduction in Turnover Percentage, indicating more efficient ball movement and decision-making. Notably, the 2019–2020 and 2022–2023 seasons stand out as leaders in Assist Percentage, reinforcing the earlier finding that both were among the program’s most productive offensive years. These trends suggest that Hobart’s most successful offenses weren’t just built on scoring, but also on effective ball distribution and control.</w:t>
      </w:r>
    </w:p>
    <w:p w14:paraId="028786AD" w14:textId="6C503A2C" w:rsidR="00A45E8E" w:rsidRDefault="00796B6F" w:rsidP="00BA5A88">
      <w:pPr>
        <w:pStyle w:val="Heading1"/>
        <w:rPr>
          <w:color w:val="F25E16"/>
        </w:rPr>
      </w:pPr>
      <w:r>
        <w:rPr>
          <w:color w:val="F25E16"/>
        </w:rPr>
        <w:t>4</w:t>
      </w:r>
      <w:r w:rsidR="00A45E8E" w:rsidRPr="00E351CA">
        <w:rPr>
          <w:color w:val="F25E16"/>
        </w:rPr>
        <w:t xml:space="preserve">. </w:t>
      </w:r>
      <w:r>
        <w:rPr>
          <w:color w:val="F25E16"/>
        </w:rPr>
        <w:t>Special Categories</w:t>
      </w:r>
    </w:p>
    <w:p w14:paraId="2CBC9208" w14:textId="77777777" w:rsidR="004C6EAF" w:rsidRPr="008F229A" w:rsidRDefault="004C6EAF" w:rsidP="004C6EAF">
      <w:pPr>
        <w:rPr>
          <w:sz w:val="24"/>
          <w:szCs w:val="24"/>
        </w:rPr>
      </w:pPr>
      <w:r w:rsidRPr="008F229A">
        <w:rPr>
          <w:sz w:val="24"/>
          <w:szCs w:val="24"/>
        </w:rPr>
        <w:t>Most box scores include a section—often at the bottom or off to the side—that highlights five “special” scoring categories. These stats go beyond traditional metrics tied directly to players or team efficiency and instead offer insight into how points are generated in specific game contexts.</w:t>
      </w:r>
    </w:p>
    <w:p w14:paraId="593AF51A" w14:textId="77777777" w:rsidR="004C6EAF" w:rsidRPr="008F229A" w:rsidRDefault="004C6EAF" w:rsidP="004C6EAF">
      <w:pPr>
        <w:rPr>
          <w:sz w:val="24"/>
          <w:szCs w:val="24"/>
        </w:rPr>
      </w:pPr>
      <w:r w:rsidRPr="008F229A">
        <w:rPr>
          <w:sz w:val="24"/>
          <w:szCs w:val="24"/>
        </w:rPr>
        <w:t xml:space="preserve">In this advanced analytics section, we calculate the </w:t>
      </w:r>
      <w:r w:rsidRPr="008F229A">
        <w:rPr>
          <w:b/>
          <w:bCs/>
          <w:sz w:val="24"/>
          <w:szCs w:val="24"/>
        </w:rPr>
        <w:t>percentage of total points</w:t>
      </w:r>
      <w:r w:rsidRPr="008F229A">
        <w:rPr>
          <w:sz w:val="24"/>
          <w:szCs w:val="24"/>
        </w:rPr>
        <w:t xml:space="preserve"> that come from each of these five special categories:</w:t>
      </w:r>
    </w:p>
    <w:p w14:paraId="45D9C920" w14:textId="77777777" w:rsidR="004C6EAF" w:rsidRPr="008F229A" w:rsidRDefault="004C6EAF" w:rsidP="004C6EAF">
      <w:pPr>
        <w:numPr>
          <w:ilvl w:val="0"/>
          <w:numId w:val="14"/>
        </w:numPr>
        <w:rPr>
          <w:sz w:val="24"/>
          <w:szCs w:val="24"/>
        </w:rPr>
      </w:pPr>
      <w:r w:rsidRPr="008F229A">
        <w:rPr>
          <w:b/>
          <w:bCs/>
          <w:sz w:val="24"/>
          <w:szCs w:val="24"/>
        </w:rPr>
        <w:t>Points in the Paint</w:t>
      </w:r>
      <w:r w:rsidRPr="008F229A">
        <w:rPr>
          <w:sz w:val="24"/>
          <w:szCs w:val="24"/>
        </w:rPr>
        <w:t xml:space="preserve"> (</w:t>
      </w:r>
      <w:proofErr w:type="spellStart"/>
      <w:r w:rsidRPr="008F229A">
        <w:rPr>
          <w:sz w:val="24"/>
          <w:szCs w:val="24"/>
        </w:rPr>
        <w:t>pts_pct_paint</w:t>
      </w:r>
      <w:proofErr w:type="spellEnd"/>
      <w:r w:rsidRPr="008F229A">
        <w:rPr>
          <w:sz w:val="24"/>
          <w:szCs w:val="24"/>
        </w:rPr>
        <w:t>)</w:t>
      </w:r>
    </w:p>
    <w:p w14:paraId="4F05B2EE" w14:textId="77777777" w:rsidR="004C6EAF" w:rsidRPr="008F229A" w:rsidRDefault="004C6EAF" w:rsidP="004C6EAF">
      <w:pPr>
        <w:numPr>
          <w:ilvl w:val="0"/>
          <w:numId w:val="14"/>
        </w:numPr>
        <w:rPr>
          <w:sz w:val="24"/>
          <w:szCs w:val="24"/>
        </w:rPr>
      </w:pPr>
      <w:r w:rsidRPr="008F229A">
        <w:rPr>
          <w:b/>
          <w:bCs/>
          <w:sz w:val="24"/>
          <w:szCs w:val="24"/>
        </w:rPr>
        <w:t>Bench Points</w:t>
      </w:r>
      <w:r w:rsidRPr="008F229A">
        <w:rPr>
          <w:sz w:val="24"/>
          <w:szCs w:val="24"/>
        </w:rPr>
        <w:t xml:space="preserve"> (</w:t>
      </w:r>
      <w:proofErr w:type="spellStart"/>
      <w:r w:rsidRPr="008F229A">
        <w:rPr>
          <w:sz w:val="24"/>
          <w:szCs w:val="24"/>
        </w:rPr>
        <w:t>pts_pct_bench</w:t>
      </w:r>
      <w:proofErr w:type="spellEnd"/>
      <w:r w:rsidRPr="008F229A">
        <w:rPr>
          <w:sz w:val="24"/>
          <w:szCs w:val="24"/>
        </w:rPr>
        <w:t>)</w:t>
      </w:r>
    </w:p>
    <w:p w14:paraId="28AE3A4A" w14:textId="77777777" w:rsidR="004C6EAF" w:rsidRPr="008F229A" w:rsidRDefault="004C6EAF" w:rsidP="004C6EAF">
      <w:pPr>
        <w:numPr>
          <w:ilvl w:val="0"/>
          <w:numId w:val="14"/>
        </w:numPr>
        <w:rPr>
          <w:sz w:val="24"/>
          <w:szCs w:val="24"/>
        </w:rPr>
      </w:pPr>
      <w:r w:rsidRPr="008F229A">
        <w:rPr>
          <w:b/>
          <w:bCs/>
          <w:sz w:val="24"/>
          <w:szCs w:val="24"/>
        </w:rPr>
        <w:t>Points Off Turnovers</w:t>
      </w:r>
      <w:r w:rsidRPr="008F229A">
        <w:rPr>
          <w:sz w:val="24"/>
          <w:szCs w:val="24"/>
        </w:rPr>
        <w:t xml:space="preserve"> (</w:t>
      </w:r>
      <w:proofErr w:type="spellStart"/>
      <w:r w:rsidRPr="008F229A">
        <w:rPr>
          <w:sz w:val="24"/>
          <w:szCs w:val="24"/>
        </w:rPr>
        <w:t>pts_pct_to</w:t>
      </w:r>
      <w:proofErr w:type="spellEnd"/>
      <w:r w:rsidRPr="008F229A">
        <w:rPr>
          <w:sz w:val="24"/>
          <w:szCs w:val="24"/>
        </w:rPr>
        <w:t>)</w:t>
      </w:r>
    </w:p>
    <w:p w14:paraId="3EFEFCF4" w14:textId="77777777" w:rsidR="004C6EAF" w:rsidRPr="008F229A" w:rsidRDefault="004C6EAF" w:rsidP="004C6EAF">
      <w:pPr>
        <w:numPr>
          <w:ilvl w:val="0"/>
          <w:numId w:val="14"/>
        </w:numPr>
        <w:rPr>
          <w:sz w:val="24"/>
          <w:szCs w:val="24"/>
        </w:rPr>
      </w:pPr>
      <w:r w:rsidRPr="008F229A">
        <w:rPr>
          <w:b/>
          <w:bCs/>
          <w:sz w:val="24"/>
          <w:szCs w:val="24"/>
        </w:rPr>
        <w:t>Second Chance Points</w:t>
      </w:r>
      <w:r w:rsidRPr="008F229A">
        <w:rPr>
          <w:sz w:val="24"/>
          <w:szCs w:val="24"/>
        </w:rPr>
        <w:t xml:space="preserve"> (pts_pct_ch2)</w:t>
      </w:r>
    </w:p>
    <w:p w14:paraId="6174706E" w14:textId="014F81D5" w:rsidR="00DA5349" w:rsidRPr="00CD6CAD" w:rsidRDefault="004C6EAF" w:rsidP="00796B6F">
      <w:pPr>
        <w:numPr>
          <w:ilvl w:val="0"/>
          <w:numId w:val="14"/>
        </w:numPr>
        <w:rPr>
          <w:sz w:val="24"/>
          <w:szCs w:val="24"/>
        </w:rPr>
      </w:pPr>
      <w:r w:rsidRPr="008F229A">
        <w:rPr>
          <w:b/>
          <w:bCs/>
          <w:sz w:val="24"/>
          <w:szCs w:val="24"/>
        </w:rPr>
        <w:t>Fast Break Points</w:t>
      </w:r>
      <w:r w:rsidRPr="008F229A">
        <w:rPr>
          <w:sz w:val="24"/>
          <w:szCs w:val="24"/>
        </w:rPr>
        <w:t xml:space="preserve"> (</w:t>
      </w:r>
      <w:proofErr w:type="spellStart"/>
      <w:r w:rsidRPr="008F229A">
        <w:rPr>
          <w:sz w:val="24"/>
          <w:szCs w:val="24"/>
        </w:rPr>
        <w:t>pts_pct_fastb</w:t>
      </w:r>
      <w:proofErr w:type="spellEnd"/>
      <w:r w:rsidRPr="008F229A">
        <w:rPr>
          <w:sz w:val="24"/>
          <w:szCs w:val="24"/>
        </w:rPr>
        <w:t>)</w:t>
      </w:r>
    </w:p>
    <w:p w14:paraId="221C2ADD" w14:textId="77777777" w:rsidR="004C6EAF" w:rsidRPr="008F229A" w:rsidRDefault="00BF5863" w:rsidP="004C6EAF">
      <w:pPr>
        <w:rPr>
          <w:sz w:val="24"/>
          <w:szCs w:val="24"/>
        </w:rPr>
      </w:pPr>
      <w:r>
        <w:rPr>
          <w:noProof/>
        </w:rPr>
        <w:drawing>
          <wp:inline distT="0" distB="0" distL="0" distR="0" wp14:anchorId="3D484CF5" wp14:editId="03FDA173">
            <wp:extent cx="5486400" cy="2205990"/>
            <wp:effectExtent l="0" t="0" r="0" b="3810"/>
            <wp:docPr id="1510323847"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23847" name="Picture 2" descr="A graph of different colored lines&#10;&#10;AI-generated content may be incorrect."/>
                    <pic:cNvPicPr/>
                  </pic:nvPicPr>
                  <pic:blipFill>
                    <a:blip r:embed="rId12"/>
                    <a:stretch>
                      <a:fillRect/>
                    </a:stretch>
                  </pic:blipFill>
                  <pic:spPr>
                    <a:xfrm>
                      <a:off x="0" y="0"/>
                      <a:ext cx="5486400" cy="2205990"/>
                    </a:xfrm>
                    <a:prstGeom prst="rect">
                      <a:avLst/>
                    </a:prstGeom>
                  </pic:spPr>
                </pic:pic>
              </a:graphicData>
            </a:graphic>
          </wp:inline>
        </w:drawing>
      </w:r>
      <w:r w:rsidR="004C6EAF" w:rsidRPr="008F229A">
        <w:rPr>
          <w:sz w:val="24"/>
          <w:szCs w:val="24"/>
        </w:rPr>
        <w:t xml:space="preserve">Unsurprisingly, </w:t>
      </w:r>
      <w:r w:rsidR="004C6EAF" w:rsidRPr="008F229A">
        <w:rPr>
          <w:b/>
          <w:bCs/>
          <w:sz w:val="24"/>
          <w:szCs w:val="24"/>
        </w:rPr>
        <w:t>Points in the Paint</w:t>
      </w:r>
      <w:r w:rsidR="004C6EAF" w:rsidRPr="008F229A">
        <w:rPr>
          <w:sz w:val="24"/>
          <w:szCs w:val="24"/>
        </w:rPr>
        <w:t xml:space="preserve"> stands out as the most dominant contributor across all five seasons. This suggests that a significant portion of Hobart’s offense is consistently generated close to the basket—a reflection of either interior-focused play or aggressive drives to the rim.</w:t>
      </w:r>
    </w:p>
    <w:p w14:paraId="2DA51D94" w14:textId="77777777" w:rsidR="004C6EAF" w:rsidRPr="008F229A" w:rsidRDefault="004C6EAF" w:rsidP="004C6EAF">
      <w:pPr>
        <w:rPr>
          <w:sz w:val="24"/>
          <w:szCs w:val="24"/>
        </w:rPr>
      </w:pPr>
      <w:r w:rsidRPr="008F229A">
        <w:rPr>
          <w:sz w:val="24"/>
          <w:szCs w:val="24"/>
        </w:rPr>
        <w:lastRenderedPageBreak/>
        <w:t>It’s important to note that a single basket may fall into multiple categories (e.g., a bench player scoring in the paint off a turnover contributes to three categories). Even with this overlap, the trends are still valuable for understanding broader team tendencies.</w:t>
      </w:r>
    </w:p>
    <w:p w14:paraId="326C8092" w14:textId="77777777" w:rsidR="004C6EAF" w:rsidRPr="008F229A" w:rsidRDefault="004C6EAF" w:rsidP="004C6EAF">
      <w:pPr>
        <w:rPr>
          <w:sz w:val="24"/>
          <w:szCs w:val="24"/>
        </w:rPr>
      </w:pPr>
      <w:r w:rsidRPr="008F229A">
        <w:rPr>
          <w:sz w:val="24"/>
          <w:szCs w:val="24"/>
        </w:rPr>
        <w:t xml:space="preserve">One of the more interesting takeaways is the fluctuation in </w:t>
      </w:r>
      <w:r w:rsidRPr="008F229A">
        <w:rPr>
          <w:b/>
          <w:bCs/>
          <w:sz w:val="24"/>
          <w:szCs w:val="24"/>
        </w:rPr>
        <w:t>Bench Points</w:t>
      </w:r>
      <w:r w:rsidRPr="008F229A">
        <w:rPr>
          <w:sz w:val="24"/>
          <w:szCs w:val="24"/>
        </w:rPr>
        <w:t xml:space="preserve">. The </w:t>
      </w:r>
      <w:r w:rsidRPr="008F229A">
        <w:rPr>
          <w:b/>
          <w:bCs/>
          <w:sz w:val="24"/>
          <w:szCs w:val="24"/>
        </w:rPr>
        <w:t>2021–2022</w:t>
      </w:r>
      <w:r w:rsidRPr="008F229A">
        <w:rPr>
          <w:sz w:val="24"/>
          <w:szCs w:val="24"/>
        </w:rPr>
        <w:t xml:space="preserve"> season shows a sharp spike, with over </w:t>
      </w:r>
      <w:r w:rsidRPr="008F229A">
        <w:rPr>
          <w:b/>
          <w:bCs/>
          <w:sz w:val="24"/>
          <w:szCs w:val="24"/>
        </w:rPr>
        <w:t>40%</w:t>
      </w:r>
      <w:r w:rsidRPr="008F229A">
        <w:rPr>
          <w:sz w:val="24"/>
          <w:szCs w:val="24"/>
        </w:rPr>
        <w:t xml:space="preserve"> of total points coming from non-starters, likely indicating a season of strong depth or rotational emphasis. In contrast, other seasons ranged from roughly </w:t>
      </w:r>
      <w:r w:rsidRPr="008F229A">
        <w:rPr>
          <w:b/>
          <w:bCs/>
          <w:sz w:val="24"/>
          <w:szCs w:val="24"/>
        </w:rPr>
        <w:t>25% to 33%</w:t>
      </w:r>
      <w:r w:rsidRPr="008F229A">
        <w:rPr>
          <w:sz w:val="24"/>
          <w:szCs w:val="24"/>
        </w:rPr>
        <w:t>, pointing to more top-heavy scoring distributions.</w:t>
      </w:r>
    </w:p>
    <w:p w14:paraId="078D37A9" w14:textId="77777777" w:rsidR="004C6EAF" w:rsidRPr="008F229A" w:rsidRDefault="004C6EAF" w:rsidP="004C6EAF">
      <w:pPr>
        <w:rPr>
          <w:sz w:val="24"/>
          <w:szCs w:val="24"/>
        </w:rPr>
      </w:pPr>
      <w:r w:rsidRPr="008F229A">
        <w:rPr>
          <w:sz w:val="24"/>
          <w:szCs w:val="24"/>
        </w:rPr>
        <w:t xml:space="preserve">Lastly, </w:t>
      </w:r>
      <w:r w:rsidRPr="008F229A">
        <w:rPr>
          <w:b/>
          <w:bCs/>
          <w:sz w:val="24"/>
          <w:szCs w:val="24"/>
        </w:rPr>
        <w:t>Second Chance Points</w:t>
      </w:r>
      <w:r w:rsidRPr="008F229A">
        <w:rPr>
          <w:sz w:val="24"/>
          <w:szCs w:val="24"/>
        </w:rPr>
        <w:t xml:space="preserve"> remained the most consistent of the five categories, hovering between </w:t>
      </w:r>
      <w:r w:rsidRPr="008F229A">
        <w:rPr>
          <w:b/>
          <w:bCs/>
          <w:sz w:val="24"/>
          <w:szCs w:val="24"/>
        </w:rPr>
        <w:t>15% and 17%</w:t>
      </w:r>
      <w:r w:rsidRPr="008F229A">
        <w:rPr>
          <w:sz w:val="24"/>
          <w:szCs w:val="24"/>
        </w:rPr>
        <w:t xml:space="preserve"> across all five years—suggesting a steady contribution from offensive rebounds and put-backs.</w:t>
      </w:r>
    </w:p>
    <w:p w14:paraId="46D6E799" w14:textId="43C149E2" w:rsidR="00BF5863" w:rsidRDefault="004C6EAF" w:rsidP="004C6EAF">
      <w:pPr>
        <w:pStyle w:val="Heading1"/>
        <w:rPr>
          <w:rFonts w:asciiTheme="minorHAnsi" w:eastAsiaTheme="minorEastAsia" w:hAnsiTheme="minorHAnsi" w:cstheme="minorBidi"/>
          <w:b w:val="0"/>
          <w:bCs w:val="0"/>
          <w:color w:val="auto"/>
          <w:sz w:val="22"/>
          <w:szCs w:val="22"/>
        </w:rPr>
      </w:pPr>
      <w:r>
        <w:rPr>
          <w:color w:val="F25E16"/>
        </w:rPr>
        <w:t xml:space="preserve">5. </w:t>
      </w:r>
      <w:r w:rsidR="00796B6F">
        <w:rPr>
          <w:color w:val="F25E16"/>
        </w:rPr>
        <w:t>Margins – The Separating Factor</w:t>
      </w:r>
    </w:p>
    <w:p w14:paraId="06C2FB9C" w14:textId="77777777" w:rsidR="007A1B07" w:rsidRPr="008F229A" w:rsidRDefault="007A1B07" w:rsidP="007A1B07">
      <w:pPr>
        <w:rPr>
          <w:sz w:val="24"/>
          <w:szCs w:val="24"/>
        </w:rPr>
      </w:pPr>
      <w:proofErr w:type="gramStart"/>
      <w:r w:rsidRPr="008F229A">
        <w:rPr>
          <w:sz w:val="24"/>
          <w:szCs w:val="24"/>
        </w:rPr>
        <w:t>Similar to</w:t>
      </w:r>
      <w:proofErr w:type="gramEnd"/>
      <w:r w:rsidRPr="008F229A">
        <w:rPr>
          <w:sz w:val="24"/>
          <w:szCs w:val="24"/>
        </w:rPr>
        <w:t xml:space="preserve"> the previous section, this analysis focuses on </w:t>
      </w:r>
      <w:r w:rsidRPr="008F229A">
        <w:rPr>
          <w:i/>
          <w:iCs/>
          <w:sz w:val="24"/>
          <w:szCs w:val="24"/>
        </w:rPr>
        <w:t>margins</w:t>
      </w:r>
      <w:r w:rsidRPr="008F229A">
        <w:rPr>
          <w:sz w:val="24"/>
          <w:szCs w:val="24"/>
        </w:rPr>
        <w:t>—comparing Hobart’s statistical performance directly against their opponents. Looking at percentage-based differences allows us to better understand where Hobart creates separation or faces disadvantages.</w:t>
      </w:r>
    </w:p>
    <w:p w14:paraId="329330E6" w14:textId="45B309F7" w:rsidR="00796B6F" w:rsidRPr="008F229A" w:rsidRDefault="007A1B07" w:rsidP="00796B6F">
      <w:pPr>
        <w:rPr>
          <w:sz w:val="24"/>
          <w:szCs w:val="24"/>
        </w:rPr>
      </w:pPr>
      <w:r w:rsidRPr="008F229A">
        <w:rPr>
          <w:sz w:val="24"/>
          <w:szCs w:val="24"/>
        </w:rPr>
        <w:t xml:space="preserve">Below are three categories where Hobart held the </w:t>
      </w:r>
      <w:r w:rsidRPr="008F229A">
        <w:rPr>
          <w:b/>
          <w:bCs/>
          <w:sz w:val="24"/>
          <w:szCs w:val="24"/>
        </w:rPr>
        <w:t>largest positive margins</w:t>
      </w:r>
      <w:r w:rsidRPr="008F229A">
        <w:rPr>
          <w:sz w:val="24"/>
          <w:szCs w:val="24"/>
        </w:rPr>
        <w:t xml:space="preserve">, as well as three where they showed </w:t>
      </w:r>
      <w:r w:rsidRPr="008F229A">
        <w:rPr>
          <w:b/>
          <w:bCs/>
          <w:sz w:val="24"/>
          <w:szCs w:val="24"/>
        </w:rPr>
        <w:t>negative margins</w:t>
      </w:r>
      <w:r w:rsidRPr="008F229A">
        <w:rPr>
          <w:sz w:val="24"/>
          <w:szCs w:val="24"/>
        </w:rPr>
        <w:t xml:space="preserve"> compared to their opponents.</w:t>
      </w:r>
    </w:p>
    <w:tbl>
      <w:tblPr>
        <w:tblStyle w:val="GridTable4-Accent6"/>
        <w:tblW w:w="6007" w:type="dxa"/>
        <w:tblLook w:val="04A0" w:firstRow="1" w:lastRow="0" w:firstColumn="1" w:lastColumn="0" w:noHBand="0" w:noVBand="1"/>
      </w:tblPr>
      <w:tblGrid>
        <w:gridCol w:w="1964"/>
        <w:gridCol w:w="1443"/>
        <w:gridCol w:w="1300"/>
        <w:gridCol w:w="1300"/>
      </w:tblGrid>
      <w:tr w:rsidR="0022327E" w:rsidRPr="0022327E" w14:paraId="58811275" w14:textId="77777777" w:rsidTr="007A1B0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55358AEE" w14:textId="77777777" w:rsidR="0022327E" w:rsidRPr="0022327E" w:rsidRDefault="0022327E" w:rsidP="0022327E">
            <w:pPr>
              <w:rPr>
                <w:rFonts w:ascii="Times" w:eastAsia="Times New Roman" w:hAnsi="Times" w:cs="Times New Roman"/>
                <w:sz w:val="24"/>
                <w:szCs w:val="24"/>
              </w:rPr>
            </w:pPr>
            <w:proofErr w:type="spellStart"/>
            <w:r w:rsidRPr="0022327E">
              <w:rPr>
                <w:rFonts w:ascii="Times" w:eastAsia="Times New Roman" w:hAnsi="Times" w:cs="Times New Roman"/>
                <w:sz w:val="24"/>
                <w:szCs w:val="24"/>
              </w:rPr>
              <w:t>group_name</w:t>
            </w:r>
            <w:proofErr w:type="spellEnd"/>
          </w:p>
        </w:tc>
        <w:tc>
          <w:tcPr>
            <w:tcW w:w="1443" w:type="dxa"/>
            <w:noWrap/>
            <w:hideMark/>
          </w:tcPr>
          <w:p w14:paraId="021FB537" w14:textId="77777777" w:rsidR="0022327E" w:rsidRPr="0022327E" w:rsidRDefault="0022327E" w:rsidP="0022327E">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4"/>
                <w:szCs w:val="24"/>
              </w:rPr>
            </w:pPr>
            <w:r w:rsidRPr="0022327E">
              <w:rPr>
                <w:rFonts w:ascii="Times" w:eastAsia="Times New Roman" w:hAnsi="Times" w:cs="Times New Roman"/>
                <w:sz w:val="24"/>
                <w:szCs w:val="24"/>
              </w:rPr>
              <w:t>pct_pts_ch2</w:t>
            </w:r>
          </w:p>
        </w:tc>
        <w:tc>
          <w:tcPr>
            <w:tcW w:w="1300" w:type="dxa"/>
            <w:noWrap/>
            <w:hideMark/>
          </w:tcPr>
          <w:p w14:paraId="1577AFE9" w14:textId="77777777" w:rsidR="0022327E" w:rsidRPr="0022327E" w:rsidRDefault="0022327E" w:rsidP="0022327E">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4"/>
                <w:szCs w:val="24"/>
              </w:rPr>
            </w:pPr>
            <w:proofErr w:type="spellStart"/>
            <w:r w:rsidRPr="0022327E">
              <w:rPr>
                <w:rFonts w:ascii="Times" w:eastAsia="Times New Roman" w:hAnsi="Times" w:cs="Times New Roman"/>
                <w:sz w:val="24"/>
                <w:szCs w:val="24"/>
              </w:rPr>
              <w:t>fta_rate</w:t>
            </w:r>
            <w:proofErr w:type="spellEnd"/>
          </w:p>
        </w:tc>
        <w:tc>
          <w:tcPr>
            <w:tcW w:w="1300" w:type="dxa"/>
            <w:noWrap/>
            <w:hideMark/>
          </w:tcPr>
          <w:p w14:paraId="2BA44894" w14:textId="77777777" w:rsidR="0022327E" w:rsidRPr="0022327E" w:rsidRDefault="0022327E" w:rsidP="0022327E">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4"/>
                <w:szCs w:val="24"/>
              </w:rPr>
            </w:pPr>
            <w:proofErr w:type="spellStart"/>
            <w:r w:rsidRPr="0022327E">
              <w:rPr>
                <w:rFonts w:ascii="Times" w:eastAsia="Times New Roman" w:hAnsi="Times" w:cs="Times New Roman"/>
                <w:sz w:val="24"/>
                <w:szCs w:val="24"/>
              </w:rPr>
              <w:t>play_pct</w:t>
            </w:r>
            <w:proofErr w:type="spellEnd"/>
          </w:p>
        </w:tc>
      </w:tr>
      <w:tr w:rsidR="0022327E" w:rsidRPr="0022327E" w14:paraId="5EE130E5" w14:textId="77777777" w:rsidTr="007A1B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6AADF149" w14:textId="1EA61D7D" w:rsidR="0022327E" w:rsidRPr="0022327E" w:rsidRDefault="0022327E" w:rsidP="0022327E">
            <w:pPr>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H</w:t>
            </w:r>
            <w:r w:rsidR="007A1B07">
              <w:rPr>
                <w:rFonts w:ascii="Times" w:eastAsia="Times New Roman" w:hAnsi="Times" w:cs="Times New Roman"/>
                <w:color w:val="000000"/>
                <w:sz w:val="24"/>
                <w:szCs w:val="24"/>
              </w:rPr>
              <w:t>obart</w:t>
            </w:r>
          </w:p>
        </w:tc>
        <w:tc>
          <w:tcPr>
            <w:tcW w:w="1443" w:type="dxa"/>
            <w:noWrap/>
            <w:hideMark/>
          </w:tcPr>
          <w:p w14:paraId="2E0E751B" w14:textId="77777777" w:rsidR="0022327E" w:rsidRPr="0022327E" w:rsidRDefault="0022327E" w:rsidP="0022327E">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16.00%</w:t>
            </w:r>
          </w:p>
        </w:tc>
        <w:tc>
          <w:tcPr>
            <w:tcW w:w="1300" w:type="dxa"/>
            <w:noWrap/>
            <w:hideMark/>
          </w:tcPr>
          <w:p w14:paraId="7BAF62BF" w14:textId="77777777" w:rsidR="0022327E" w:rsidRPr="0022327E" w:rsidRDefault="0022327E" w:rsidP="0022327E">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32.10%</w:t>
            </w:r>
          </w:p>
        </w:tc>
        <w:tc>
          <w:tcPr>
            <w:tcW w:w="1300" w:type="dxa"/>
            <w:noWrap/>
            <w:hideMark/>
          </w:tcPr>
          <w:p w14:paraId="126C46B4" w14:textId="77777777" w:rsidR="0022327E" w:rsidRPr="0022327E" w:rsidRDefault="0022327E" w:rsidP="0022327E">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43.00%</w:t>
            </w:r>
          </w:p>
        </w:tc>
      </w:tr>
      <w:tr w:rsidR="0022327E" w:rsidRPr="0022327E" w14:paraId="4BF93E2E" w14:textId="77777777" w:rsidTr="007A1B07">
        <w:trPr>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001DA24D" w14:textId="1D8C3DC7" w:rsidR="0022327E" w:rsidRPr="0022327E" w:rsidRDefault="007A1B07" w:rsidP="0022327E">
            <w:pPr>
              <w:rPr>
                <w:rFonts w:ascii="Times" w:eastAsia="Times New Roman" w:hAnsi="Times" w:cs="Times New Roman"/>
                <w:color w:val="000000"/>
                <w:sz w:val="24"/>
                <w:szCs w:val="24"/>
              </w:rPr>
            </w:pPr>
            <w:r>
              <w:rPr>
                <w:rFonts w:ascii="Times" w:eastAsia="Times New Roman" w:hAnsi="Times" w:cs="Times New Roman"/>
                <w:color w:val="000000"/>
                <w:sz w:val="24"/>
                <w:szCs w:val="24"/>
              </w:rPr>
              <w:t>Opponent</w:t>
            </w:r>
          </w:p>
        </w:tc>
        <w:tc>
          <w:tcPr>
            <w:tcW w:w="1443" w:type="dxa"/>
            <w:noWrap/>
            <w:hideMark/>
          </w:tcPr>
          <w:p w14:paraId="0BE82709" w14:textId="77777777" w:rsidR="0022327E" w:rsidRPr="0022327E" w:rsidRDefault="0022327E" w:rsidP="0022327E">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11.60%</w:t>
            </w:r>
          </w:p>
        </w:tc>
        <w:tc>
          <w:tcPr>
            <w:tcW w:w="1300" w:type="dxa"/>
            <w:noWrap/>
            <w:hideMark/>
          </w:tcPr>
          <w:p w14:paraId="642E4D8D" w14:textId="77777777" w:rsidR="0022327E" w:rsidRPr="0022327E" w:rsidRDefault="0022327E" w:rsidP="0022327E">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29.00%</w:t>
            </w:r>
          </w:p>
        </w:tc>
        <w:tc>
          <w:tcPr>
            <w:tcW w:w="1300" w:type="dxa"/>
            <w:noWrap/>
            <w:hideMark/>
          </w:tcPr>
          <w:p w14:paraId="5F61F4CD" w14:textId="77777777" w:rsidR="0022327E" w:rsidRPr="0022327E" w:rsidRDefault="0022327E" w:rsidP="0022327E">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39.20%</w:t>
            </w:r>
          </w:p>
        </w:tc>
      </w:tr>
      <w:tr w:rsidR="0022327E" w:rsidRPr="0022327E" w14:paraId="23476E3F" w14:textId="77777777" w:rsidTr="007A1B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33D33F28" w14:textId="5B267899" w:rsidR="0022327E" w:rsidRPr="0022327E" w:rsidRDefault="007A1B07" w:rsidP="0022327E">
            <w:pPr>
              <w:rPr>
                <w:rFonts w:ascii="Times" w:eastAsia="Times New Roman" w:hAnsi="Times" w:cs="Times New Roman"/>
                <w:color w:val="000000"/>
                <w:sz w:val="24"/>
                <w:szCs w:val="24"/>
              </w:rPr>
            </w:pPr>
            <w:r>
              <w:rPr>
                <w:rFonts w:ascii="Times" w:eastAsia="Times New Roman" w:hAnsi="Times" w:cs="Times New Roman"/>
                <w:color w:val="000000"/>
                <w:sz w:val="24"/>
                <w:szCs w:val="24"/>
              </w:rPr>
              <w:t>Margin</w:t>
            </w:r>
          </w:p>
        </w:tc>
        <w:tc>
          <w:tcPr>
            <w:tcW w:w="1443" w:type="dxa"/>
            <w:noWrap/>
            <w:hideMark/>
          </w:tcPr>
          <w:p w14:paraId="4A2AB035" w14:textId="77777777" w:rsidR="0022327E" w:rsidRPr="0022327E" w:rsidRDefault="0022327E" w:rsidP="0022327E">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0.044</w:t>
            </w:r>
          </w:p>
        </w:tc>
        <w:tc>
          <w:tcPr>
            <w:tcW w:w="1300" w:type="dxa"/>
            <w:noWrap/>
            <w:hideMark/>
          </w:tcPr>
          <w:p w14:paraId="62B6B074" w14:textId="77777777" w:rsidR="0022327E" w:rsidRPr="0022327E" w:rsidRDefault="0022327E" w:rsidP="0022327E">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0.031</w:t>
            </w:r>
          </w:p>
        </w:tc>
        <w:tc>
          <w:tcPr>
            <w:tcW w:w="1300" w:type="dxa"/>
            <w:noWrap/>
            <w:hideMark/>
          </w:tcPr>
          <w:p w14:paraId="159C2BC2" w14:textId="77777777" w:rsidR="0022327E" w:rsidRPr="0022327E" w:rsidRDefault="0022327E" w:rsidP="0022327E">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0.038</w:t>
            </w:r>
          </w:p>
        </w:tc>
      </w:tr>
      <w:tr w:rsidR="0022327E" w:rsidRPr="0022327E" w14:paraId="17F8034C" w14:textId="77777777" w:rsidTr="007A1B07">
        <w:trPr>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065D2648" w14:textId="01DBC177" w:rsidR="0022327E" w:rsidRPr="0022327E" w:rsidRDefault="0022327E" w:rsidP="0022327E">
            <w:pPr>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%_</w:t>
            </w:r>
            <w:r w:rsidR="007A1B07">
              <w:rPr>
                <w:rFonts w:ascii="Times" w:eastAsia="Times New Roman" w:hAnsi="Times" w:cs="Times New Roman"/>
                <w:color w:val="000000"/>
                <w:sz w:val="24"/>
                <w:szCs w:val="24"/>
              </w:rPr>
              <w:t>Margin Diff.</w:t>
            </w:r>
          </w:p>
        </w:tc>
        <w:tc>
          <w:tcPr>
            <w:tcW w:w="1443" w:type="dxa"/>
            <w:noWrap/>
            <w:hideMark/>
          </w:tcPr>
          <w:p w14:paraId="3E923EE5" w14:textId="77777777" w:rsidR="0022327E" w:rsidRPr="0022327E" w:rsidRDefault="0022327E" w:rsidP="0022327E">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37.93%</w:t>
            </w:r>
          </w:p>
        </w:tc>
        <w:tc>
          <w:tcPr>
            <w:tcW w:w="1300" w:type="dxa"/>
            <w:noWrap/>
            <w:hideMark/>
          </w:tcPr>
          <w:p w14:paraId="0B83AD83" w14:textId="77777777" w:rsidR="0022327E" w:rsidRPr="0022327E" w:rsidRDefault="0022327E" w:rsidP="0022327E">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10.69%</w:t>
            </w:r>
          </w:p>
        </w:tc>
        <w:tc>
          <w:tcPr>
            <w:tcW w:w="1300" w:type="dxa"/>
            <w:noWrap/>
            <w:hideMark/>
          </w:tcPr>
          <w:p w14:paraId="55A437A8" w14:textId="77777777" w:rsidR="0022327E" w:rsidRPr="0022327E" w:rsidRDefault="0022327E" w:rsidP="0022327E">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9.69%</w:t>
            </w:r>
          </w:p>
        </w:tc>
      </w:tr>
    </w:tbl>
    <w:p w14:paraId="5BCDAC1C" w14:textId="77777777" w:rsidR="007A1B07" w:rsidRDefault="007A1B07" w:rsidP="000C21A9"/>
    <w:p w14:paraId="44987072" w14:textId="24020B1B" w:rsidR="008F229A" w:rsidRPr="008F229A" w:rsidRDefault="007A1B07" w:rsidP="000C21A9">
      <w:pPr>
        <w:rPr>
          <w:sz w:val="24"/>
          <w:szCs w:val="24"/>
        </w:rPr>
      </w:pPr>
      <w:r w:rsidRPr="008F229A">
        <w:rPr>
          <w:sz w:val="24"/>
          <w:szCs w:val="24"/>
        </w:rPr>
        <w:t>These positive margins reflect Hobart’s gritty, physical playing style. The team consistently creates second-chance opportunities and gets to the free throw line more often than opponents—two signs of an aggressive, multi-effort approach.</w:t>
      </w:r>
    </w:p>
    <w:tbl>
      <w:tblPr>
        <w:tblStyle w:val="GridTable4-Accent4"/>
        <w:tblW w:w="5981" w:type="dxa"/>
        <w:tblLook w:val="04A0" w:firstRow="1" w:lastRow="0" w:firstColumn="1" w:lastColumn="0" w:noHBand="0" w:noVBand="1"/>
      </w:tblPr>
      <w:tblGrid>
        <w:gridCol w:w="1964"/>
        <w:gridCol w:w="1300"/>
        <w:gridCol w:w="1417"/>
        <w:gridCol w:w="1300"/>
      </w:tblGrid>
      <w:tr w:rsidR="007A1B07" w:rsidRPr="0022327E" w14:paraId="4024D0AA" w14:textId="77777777" w:rsidTr="007A1B0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0F0C91BB" w14:textId="77777777" w:rsidR="0022327E" w:rsidRPr="0022327E" w:rsidRDefault="0022327E" w:rsidP="0022327E">
            <w:pPr>
              <w:rPr>
                <w:rFonts w:ascii="Times" w:eastAsia="Times New Roman" w:hAnsi="Times" w:cs="Times New Roman"/>
                <w:sz w:val="24"/>
                <w:szCs w:val="24"/>
              </w:rPr>
            </w:pPr>
            <w:proofErr w:type="spellStart"/>
            <w:r w:rsidRPr="0022327E">
              <w:rPr>
                <w:rFonts w:ascii="Times" w:eastAsia="Times New Roman" w:hAnsi="Times" w:cs="Times New Roman"/>
                <w:sz w:val="24"/>
                <w:szCs w:val="24"/>
              </w:rPr>
              <w:t>group_name</w:t>
            </w:r>
            <w:proofErr w:type="spellEnd"/>
          </w:p>
        </w:tc>
        <w:tc>
          <w:tcPr>
            <w:tcW w:w="1300" w:type="dxa"/>
            <w:noWrap/>
            <w:hideMark/>
          </w:tcPr>
          <w:p w14:paraId="703F770A" w14:textId="77777777" w:rsidR="0022327E" w:rsidRPr="0022327E" w:rsidRDefault="0022327E" w:rsidP="0022327E">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4"/>
                <w:szCs w:val="24"/>
              </w:rPr>
            </w:pPr>
            <w:proofErr w:type="spellStart"/>
            <w:r w:rsidRPr="0022327E">
              <w:rPr>
                <w:rFonts w:ascii="Times" w:eastAsia="Times New Roman" w:hAnsi="Times" w:cs="Times New Roman"/>
                <w:sz w:val="24"/>
                <w:szCs w:val="24"/>
              </w:rPr>
              <w:t>tov_pct</w:t>
            </w:r>
            <w:proofErr w:type="spellEnd"/>
          </w:p>
        </w:tc>
        <w:tc>
          <w:tcPr>
            <w:tcW w:w="1417" w:type="dxa"/>
            <w:noWrap/>
            <w:hideMark/>
          </w:tcPr>
          <w:p w14:paraId="4DC6BF1B" w14:textId="77777777" w:rsidR="0022327E" w:rsidRPr="0022327E" w:rsidRDefault="0022327E" w:rsidP="0022327E">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4"/>
                <w:szCs w:val="24"/>
              </w:rPr>
            </w:pPr>
            <w:r w:rsidRPr="0022327E">
              <w:rPr>
                <w:rFonts w:ascii="Times" w:eastAsia="Times New Roman" w:hAnsi="Times" w:cs="Times New Roman"/>
                <w:sz w:val="24"/>
                <w:szCs w:val="24"/>
              </w:rPr>
              <w:t>pct_pts_3pt</w:t>
            </w:r>
          </w:p>
        </w:tc>
        <w:tc>
          <w:tcPr>
            <w:tcW w:w="1300" w:type="dxa"/>
            <w:noWrap/>
            <w:hideMark/>
          </w:tcPr>
          <w:p w14:paraId="5C9E4E0B" w14:textId="77777777" w:rsidR="0022327E" w:rsidRPr="0022327E" w:rsidRDefault="0022327E" w:rsidP="0022327E">
            <w:pP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sz w:val="24"/>
                <w:szCs w:val="24"/>
              </w:rPr>
            </w:pPr>
            <w:proofErr w:type="spellStart"/>
            <w:r w:rsidRPr="0022327E">
              <w:rPr>
                <w:rFonts w:ascii="Times" w:eastAsia="Times New Roman" w:hAnsi="Times" w:cs="Times New Roman"/>
                <w:sz w:val="24"/>
                <w:szCs w:val="24"/>
              </w:rPr>
              <w:t>pct_pts_to</w:t>
            </w:r>
            <w:proofErr w:type="spellEnd"/>
          </w:p>
        </w:tc>
      </w:tr>
      <w:tr w:rsidR="007A1B07" w:rsidRPr="0022327E" w14:paraId="76630B93" w14:textId="77777777" w:rsidTr="007A1B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5F65ED56" w14:textId="54D8525B" w:rsidR="007A1B07" w:rsidRPr="0022327E" w:rsidRDefault="007A1B07" w:rsidP="007A1B07">
            <w:pPr>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H</w:t>
            </w:r>
            <w:r>
              <w:rPr>
                <w:rFonts w:ascii="Times" w:eastAsia="Times New Roman" w:hAnsi="Times" w:cs="Times New Roman"/>
                <w:color w:val="000000"/>
                <w:sz w:val="24"/>
                <w:szCs w:val="24"/>
              </w:rPr>
              <w:t>obart</w:t>
            </w:r>
          </w:p>
        </w:tc>
        <w:tc>
          <w:tcPr>
            <w:tcW w:w="1300" w:type="dxa"/>
            <w:noWrap/>
            <w:hideMark/>
          </w:tcPr>
          <w:p w14:paraId="644EE571" w14:textId="77777777" w:rsidR="007A1B07" w:rsidRPr="0022327E" w:rsidRDefault="007A1B07" w:rsidP="007A1B0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19.60%</w:t>
            </w:r>
          </w:p>
        </w:tc>
        <w:tc>
          <w:tcPr>
            <w:tcW w:w="1417" w:type="dxa"/>
            <w:noWrap/>
            <w:hideMark/>
          </w:tcPr>
          <w:p w14:paraId="41C4FACA" w14:textId="77777777" w:rsidR="007A1B07" w:rsidRPr="0022327E" w:rsidRDefault="007A1B07" w:rsidP="007A1B0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27.60%</w:t>
            </w:r>
          </w:p>
        </w:tc>
        <w:tc>
          <w:tcPr>
            <w:tcW w:w="1300" w:type="dxa"/>
            <w:noWrap/>
            <w:hideMark/>
          </w:tcPr>
          <w:p w14:paraId="3CD5EFF3" w14:textId="77777777" w:rsidR="007A1B07" w:rsidRPr="0022327E" w:rsidRDefault="007A1B07" w:rsidP="007A1B0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17.30%</w:t>
            </w:r>
          </w:p>
        </w:tc>
      </w:tr>
      <w:tr w:rsidR="007A1B07" w:rsidRPr="0022327E" w14:paraId="02F22431" w14:textId="77777777" w:rsidTr="007A1B07">
        <w:trPr>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50BFFF7C" w14:textId="6361EE2C" w:rsidR="007A1B07" w:rsidRPr="0022327E" w:rsidRDefault="007A1B07" w:rsidP="007A1B07">
            <w:pPr>
              <w:rPr>
                <w:rFonts w:ascii="Times" w:eastAsia="Times New Roman" w:hAnsi="Times" w:cs="Times New Roman"/>
                <w:color w:val="000000"/>
                <w:sz w:val="24"/>
                <w:szCs w:val="24"/>
              </w:rPr>
            </w:pPr>
            <w:r>
              <w:rPr>
                <w:rFonts w:ascii="Times" w:eastAsia="Times New Roman" w:hAnsi="Times" w:cs="Times New Roman"/>
                <w:color w:val="000000"/>
                <w:sz w:val="24"/>
                <w:szCs w:val="24"/>
              </w:rPr>
              <w:t>Opponent</w:t>
            </w:r>
          </w:p>
        </w:tc>
        <w:tc>
          <w:tcPr>
            <w:tcW w:w="1300" w:type="dxa"/>
            <w:noWrap/>
            <w:hideMark/>
          </w:tcPr>
          <w:p w14:paraId="70B92644" w14:textId="77777777" w:rsidR="007A1B07" w:rsidRPr="0022327E" w:rsidRDefault="007A1B07" w:rsidP="007A1B0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16.80%</w:t>
            </w:r>
          </w:p>
        </w:tc>
        <w:tc>
          <w:tcPr>
            <w:tcW w:w="1417" w:type="dxa"/>
            <w:noWrap/>
            <w:hideMark/>
          </w:tcPr>
          <w:p w14:paraId="09FDDFF7" w14:textId="77777777" w:rsidR="007A1B07" w:rsidRPr="0022327E" w:rsidRDefault="007A1B07" w:rsidP="007A1B0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30.10%</w:t>
            </w:r>
          </w:p>
        </w:tc>
        <w:tc>
          <w:tcPr>
            <w:tcW w:w="1300" w:type="dxa"/>
            <w:noWrap/>
            <w:hideMark/>
          </w:tcPr>
          <w:p w14:paraId="6B85B15D" w14:textId="77777777" w:rsidR="007A1B07" w:rsidRPr="0022327E" w:rsidRDefault="007A1B07" w:rsidP="007A1B0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20.80%</w:t>
            </w:r>
          </w:p>
        </w:tc>
      </w:tr>
      <w:tr w:rsidR="007A1B07" w:rsidRPr="0022327E" w14:paraId="4F96B1A1" w14:textId="77777777" w:rsidTr="007A1B0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1E631264" w14:textId="3D4E3C49" w:rsidR="007A1B07" w:rsidRPr="0022327E" w:rsidRDefault="007A1B07" w:rsidP="007A1B07">
            <w:pPr>
              <w:rPr>
                <w:rFonts w:ascii="Times" w:eastAsia="Times New Roman" w:hAnsi="Times" w:cs="Times New Roman"/>
                <w:color w:val="000000"/>
                <w:sz w:val="24"/>
                <w:szCs w:val="24"/>
              </w:rPr>
            </w:pPr>
            <w:r>
              <w:rPr>
                <w:rFonts w:ascii="Times" w:eastAsia="Times New Roman" w:hAnsi="Times" w:cs="Times New Roman"/>
                <w:color w:val="000000"/>
                <w:sz w:val="24"/>
                <w:szCs w:val="24"/>
              </w:rPr>
              <w:t>Margin</w:t>
            </w:r>
          </w:p>
        </w:tc>
        <w:tc>
          <w:tcPr>
            <w:tcW w:w="1300" w:type="dxa"/>
            <w:noWrap/>
            <w:hideMark/>
          </w:tcPr>
          <w:p w14:paraId="59C54EB6" w14:textId="77777777" w:rsidR="007A1B07" w:rsidRPr="0022327E" w:rsidRDefault="007A1B07" w:rsidP="007A1B0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0.028</w:t>
            </w:r>
          </w:p>
        </w:tc>
        <w:tc>
          <w:tcPr>
            <w:tcW w:w="1417" w:type="dxa"/>
            <w:noWrap/>
            <w:hideMark/>
          </w:tcPr>
          <w:p w14:paraId="0169786F" w14:textId="77777777" w:rsidR="007A1B07" w:rsidRPr="0022327E" w:rsidRDefault="007A1B07" w:rsidP="007A1B0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-0.025</w:t>
            </w:r>
          </w:p>
        </w:tc>
        <w:tc>
          <w:tcPr>
            <w:tcW w:w="1300" w:type="dxa"/>
            <w:noWrap/>
            <w:hideMark/>
          </w:tcPr>
          <w:p w14:paraId="463DE568" w14:textId="77777777" w:rsidR="007A1B07" w:rsidRPr="0022327E" w:rsidRDefault="007A1B07" w:rsidP="007A1B0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-0.035</w:t>
            </w:r>
          </w:p>
        </w:tc>
      </w:tr>
      <w:tr w:rsidR="007A1B07" w:rsidRPr="0022327E" w14:paraId="5DA3776C" w14:textId="77777777" w:rsidTr="007A1B07">
        <w:trPr>
          <w:trHeight w:val="320"/>
        </w:trPr>
        <w:tc>
          <w:tcPr>
            <w:cnfStyle w:val="001000000000" w:firstRow="0" w:lastRow="0" w:firstColumn="1" w:lastColumn="0" w:oddVBand="0" w:evenVBand="0" w:oddHBand="0" w:evenHBand="0" w:firstRowFirstColumn="0" w:firstRowLastColumn="0" w:lastRowFirstColumn="0" w:lastRowLastColumn="0"/>
            <w:tcW w:w="1964" w:type="dxa"/>
            <w:noWrap/>
            <w:hideMark/>
          </w:tcPr>
          <w:p w14:paraId="6329538A" w14:textId="24A4CB63" w:rsidR="007A1B07" w:rsidRPr="0022327E" w:rsidRDefault="007A1B07" w:rsidP="007A1B07">
            <w:pPr>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%_</w:t>
            </w:r>
            <w:r>
              <w:rPr>
                <w:rFonts w:ascii="Times" w:eastAsia="Times New Roman" w:hAnsi="Times" w:cs="Times New Roman"/>
                <w:color w:val="000000"/>
                <w:sz w:val="24"/>
                <w:szCs w:val="24"/>
              </w:rPr>
              <w:t>Margin Diff.</w:t>
            </w:r>
          </w:p>
        </w:tc>
        <w:tc>
          <w:tcPr>
            <w:tcW w:w="1300" w:type="dxa"/>
            <w:noWrap/>
            <w:hideMark/>
          </w:tcPr>
          <w:p w14:paraId="4376BE1C" w14:textId="77777777" w:rsidR="007A1B07" w:rsidRPr="0022327E" w:rsidRDefault="007A1B07" w:rsidP="007A1B0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-16.67%</w:t>
            </w:r>
          </w:p>
        </w:tc>
        <w:tc>
          <w:tcPr>
            <w:tcW w:w="1417" w:type="dxa"/>
            <w:noWrap/>
            <w:hideMark/>
          </w:tcPr>
          <w:p w14:paraId="3D67FE01" w14:textId="77777777" w:rsidR="007A1B07" w:rsidRPr="0022327E" w:rsidRDefault="007A1B07" w:rsidP="007A1B0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-8.31%</w:t>
            </w:r>
          </w:p>
        </w:tc>
        <w:tc>
          <w:tcPr>
            <w:tcW w:w="1300" w:type="dxa"/>
            <w:noWrap/>
            <w:hideMark/>
          </w:tcPr>
          <w:p w14:paraId="5988514A" w14:textId="77777777" w:rsidR="007A1B07" w:rsidRPr="0022327E" w:rsidRDefault="007A1B07" w:rsidP="007A1B0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color w:val="000000"/>
                <w:sz w:val="24"/>
                <w:szCs w:val="24"/>
              </w:rPr>
            </w:pPr>
            <w:r w:rsidRPr="0022327E">
              <w:rPr>
                <w:rFonts w:ascii="Times" w:eastAsia="Times New Roman" w:hAnsi="Times" w:cs="Times New Roman"/>
                <w:color w:val="000000"/>
                <w:sz w:val="24"/>
                <w:szCs w:val="24"/>
              </w:rPr>
              <w:t>-16.83%</w:t>
            </w:r>
          </w:p>
        </w:tc>
      </w:tr>
    </w:tbl>
    <w:p w14:paraId="7AFA3801" w14:textId="77777777" w:rsidR="007A1B07" w:rsidRPr="008F229A" w:rsidRDefault="007A1B07" w:rsidP="000C21A9">
      <w:pPr>
        <w:pStyle w:val="Heading1"/>
        <w:rPr>
          <w:rFonts w:asciiTheme="minorHAnsi" w:eastAsiaTheme="minorEastAsia" w:hAnsiTheme="minorHAnsi" w:cstheme="minorBidi"/>
          <w:b w:val="0"/>
          <w:bCs w:val="0"/>
          <w:color w:val="auto"/>
          <w:sz w:val="24"/>
          <w:szCs w:val="24"/>
        </w:rPr>
      </w:pPr>
      <w:r w:rsidRPr="008F229A">
        <w:rPr>
          <w:rFonts w:asciiTheme="minorHAnsi" w:eastAsiaTheme="minorEastAsia" w:hAnsiTheme="minorHAnsi" w:cstheme="minorBidi"/>
          <w:b w:val="0"/>
          <w:bCs w:val="0"/>
          <w:color w:val="auto"/>
          <w:sz w:val="24"/>
          <w:szCs w:val="24"/>
        </w:rPr>
        <w:lastRenderedPageBreak/>
        <w:t>On the flip side, Hobart has struggled with ball security, posting a significantly higher Turnover Percentage than its opponents. The team also generates fewer points off turnovers, suggesting less capitalization on defensive pressure. Additionally, Hobart scores a lower percentage of its points from beyond the arc—highlighting a contrasting offensive style compared to many of its opponents.</w:t>
      </w:r>
    </w:p>
    <w:p w14:paraId="1748B688" w14:textId="28485BE5" w:rsidR="00F73B52" w:rsidRPr="000C21A9" w:rsidRDefault="00F73B52" w:rsidP="000C21A9">
      <w:pPr>
        <w:pStyle w:val="Heading1"/>
        <w:rPr>
          <w:color w:val="4C1078"/>
        </w:rPr>
      </w:pPr>
      <w:r>
        <w:rPr>
          <w:color w:val="4C1078"/>
        </w:rPr>
        <w:t>Conclusion</w:t>
      </w:r>
    </w:p>
    <w:p w14:paraId="42A49673" w14:textId="77777777" w:rsidR="007900B2" w:rsidRPr="008F229A" w:rsidRDefault="007900B2" w:rsidP="007900B2">
      <w:pPr>
        <w:rPr>
          <w:sz w:val="24"/>
          <w:szCs w:val="24"/>
        </w:rPr>
      </w:pPr>
      <w:r w:rsidRPr="008F229A">
        <w:rPr>
          <w:sz w:val="24"/>
          <w:szCs w:val="24"/>
        </w:rPr>
        <w:t>Over the past five seasons, Hobart Basketball has built a clear statistical identity rooted in physicality, inside scoring, and offensive rebounding. Through advanced metrics, we can now quantify many of the team’s tendencies and better understand the areas where they consistently perform well—and where there’s room for improvement.</w:t>
      </w:r>
    </w:p>
    <w:p w14:paraId="3F2CA1B4" w14:textId="77777777" w:rsidR="007900B2" w:rsidRPr="008F229A" w:rsidRDefault="007900B2" w:rsidP="007900B2">
      <w:pPr>
        <w:rPr>
          <w:sz w:val="24"/>
          <w:szCs w:val="24"/>
        </w:rPr>
      </w:pPr>
      <w:r w:rsidRPr="008F229A">
        <w:rPr>
          <w:sz w:val="24"/>
          <w:szCs w:val="24"/>
        </w:rPr>
        <w:t>The data shows that Hobart has excelled in second-chance points, free throw rate, and play percentage, all of which suggest a team committed to effort-based possessions and high-efficiency opportunities around the rim. The 2022–2023 season</w:t>
      </w:r>
      <w:proofErr w:type="gramStart"/>
      <w:r w:rsidRPr="008F229A">
        <w:rPr>
          <w:sz w:val="24"/>
          <w:szCs w:val="24"/>
        </w:rPr>
        <w:t>, in particular, stands</w:t>
      </w:r>
      <w:proofErr w:type="gramEnd"/>
      <w:r w:rsidRPr="008F229A">
        <w:rPr>
          <w:sz w:val="24"/>
          <w:szCs w:val="24"/>
        </w:rPr>
        <w:t xml:space="preserve"> out as a model of offensive balance, leading the way in multiple efficiency categories.</w:t>
      </w:r>
    </w:p>
    <w:p w14:paraId="2E444DC2" w14:textId="77777777" w:rsidR="007900B2" w:rsidRPr="008F229A" w:rsidRDefault="007900B2" w:rsidP="007900B2">
      <w:pPr>
        <w:rPr>
          <w:sz w:val="24"/>
          <w:szCs w:val="24"/>
        </w:rPr>
      </w:pPr>
      <w:r w:rsidRPr="008F229A">
        <w:rPr>
          <w:sz w:val="24"/>
          <w:szCs w:val="24"/>
        </w:rPr>
        <w:t>However, there are also consistent challenges that emerge from the data. Turnover percentage has remained a persistent issue, and the team’s reliance on interior scoring has come at the expense of perimeter production—trailing opponents in both 3-point scoring and points off turnovers.</w:t>
      </w:r>
    </w:p>
    <w:p w14:paraId="0D67DD60" w14:textId="77777777" w:rsidR="007900B2" w:rsidRPr="008F229A" w:rsidRDefault="007900B2" w:rsidP="007900B2">
      <w:pPr>
        <w:rPr>
          <w:sz w:val="24"/>
          <w:szCs w:val="24"/>
        </w:rPr>
      </w:pPr>
      <w:r w:rsidRPr="008F229A">
        <w:rPr>
          <w:sz w:val="24"/>
          <w:szCs w:val="24"/>
        </w:rPr>
        <w:t>By applying these advanced metrics, Hobart’s staff and players gain a clearer picture of what drives success and where the next competitive edge may lie. As analytics continue to evolve in the sport, the ability to measure, interpret, and act on this kind of data will be key to sustaining excellence and staying one step ahead.</w:t>
      </w:r>
    </w:p>
    <w:p w14:paraId="445A0993" w14:textId="77777777" w:rsidR="000C21A9" w:rsidRPr="008F229A" w:rsidRDefault="000C21A9" w:rsidP="004A1DBC">
      <w:pPr>
        <w:rPr>
          <w:sz w:val="24"/>
          <w:szCs w:val="24"/>
        </w:rPr>
      </w:pPr>
    </w:p>
    <w:p w14:paraId="03A1AC7F" w14:textId="77777777" w:rsidR="007900B2" w:rsidRDefault="007900B2" w:rsidP="004A1DBC"/>
    <w:p w14:paraId="6B23B276" w14:textId="77777777" w:rsidR="00CD6CAD" w:rsidRDefault="00CD6CAD" w:rsidP="004A1DBC"/>
    <w:p w14:paraId="4A499D2A" w14:textId="77777777" w:rsidR="00CD6CAD" w:rsidRDefault="00CD6CAD" w:rsidP="004A1DBC"/>
    <w:p w14:paraId="1A7A0CC3" w14:textId="77777777" w:rsidR="00CD6CAD" w:rsidRDefault="00CD6CAD" w:rsidP="004A1DBC"/>
    <w:p w14:paraId="236C7932" w14:textId="77777777" w:rsidR="007900B2" w:rsidRPr="001F0668" w:rsidRDefault="007900B2" w:rsidP="007900B2">
      <w:pPr>
        <w:pStyle w:val="Title"/>
        <w:rPr>
          <w:color w:val="7030A0"/>
        </w:rPr>
      </w:pPr>
      <w:r w:rsidRPr="001F0668">
        <w:rPr>
          <w:color w:val="7030A0"/>
        </w:rPr>
        <w:lastRenderedPageBreak/>
        <w:t>Hobart Basketball Advanced Analytics Glossary</w:t>
      </w:r>
    </w:p>
    <w:p w14:paraId="1372297D" w14:textId="77777777" w:rsidR="007900B2" w:rsidRDefault="007900B2" w:rsidP="007900B2">
      <w:r>
        <w:br/>
        <w:t>This glossary outlines the 21 advanced basketball metrics calculated for each season in the Hobart Basketball performance analysis. These metrics provide a deeper understanding of team efficiency, scoring distribution, ball control, and rebounding effectiveness.</w:t>
      </w:r>
      <w:r>
        <w:br/>
      </w:r>
    </w:p>
    <w:p w14:paraId="1DAE6E57" w14:textId="77777777" w:rsidR="007900B2" w:rsidRPr="001F0668" w:rsidRDefault="007900B2" w:rsidP="007900B2">
      <w:pPr>
        <w:pStyle w:val="Heading2"/>
        <w:rPr>
          <w:color w:val="F25E16"/>
        </w:rPr>
      </w:pPr>
      <w:r w:rsidRPr="001F0668">
        <w:rPr>
          <w:color w:val="F25E16"/>
        </w:rPr>
        <w:t>possessions – Estimated Possessions</w:t>
      </w:r>
    </w:p>
    <w:p w14:paraId="47CBAF7C" w14:textId="77777777" w:rsidR="007900B2" w:rsidRDefault="007900B2" w:rsidP="007900B2">
      <w:r>
        <w:t>Total team possessions per game, adjusted for FGA, OREB, TO, and FTA.</w:t>
      </w:r>
    </w:p>
    <w:p w14:paraId="6C180482" w14:textId="77777777" w:rsidR="007900B2" w:rsidRPr="001F0668" w:rsidRDefault="007900B2" w:rsidP="007900B2">
      <w:pPr>
        <w:pStyle w:val="Heading2"/>
        <w:rPr>
          <w:color w:val="F25E16"/>
        </w:rPr>
      </w:pPr>
      <w:proofErr w:type="spellStart"/>
      <w:r w:rsidRPr="001F0668">
        <w:rPr>
          <w:color w:val="F25E16"/>
        </w:rPr>
        <w:t>efg_pct</w:t>
      </w:r>
      <w:proofErr w:type="spellEnd"/>
      <w:r w:rsidRPr="001F0668">
        <w:rPr>
          <w:color w:val="F25E16"/>
        </w:rPr>
        <w:t xml:space="preserve"> – Effective Field Goal %</w:t>
      </w:r>
    </w:p>
    <w:p w14:paraId="7071CE9C" w14:textId="77777777" w:rsidR="007900B2" w:rsidRDefault="007900B2" w:rsidP="007900B2">
      <w:r>
        <w:t>Adjusted shooting efficiency — gives extra weight to 3-pointers.</w:t>
      </w:r>
    </w:p>
    <w:p w14:paraId="5910195A" w14:textId="77777777" w:rsidR="007900B2" w:rsidRPr="001F0668" w:rsidRDefault="007900B2" w:rsidP="007900B2">
      <w:pPr>
        <w:pStyle w:val="Heading2"/>
        <w:rPr>
          <w:color w:val="F25E16"/>
        </w:rPr>
      </w:pPr>
      <w:proofErr w:type="spellStart"/>
      <w:r w:rsidRPr="001F0668">
        <w:rPr>
          <w:color w:val="F25E16"/>
        </w:rPr>
        <w:t>ts_pct</w:t>
      </w:r>
      <w:proofErr w:type="spellEnd"/>
      <w:r w:rsidRPr="001F0668">
        <w:rPr>
          <w:color w:val="F25E16"/>
        </w:rPr>
        <w:t xml:space="preserve"> – True Shooting %</w:t>
      </w:r>
    </w:p>
    <w:p w14:paraId="59A97413" w14:textId="77777777" w:rsidR="007900B2" w:rsidRDefault="007900B2" w:rsidP="007900B2">
      <w:r>
        <w:t>Overall scoring efficiency including 2s, 3s, and free throws.</w:t>
      </w:r>
    </w:p>
    <w:p w14:paraId="54D6E9B3" w14:textId="77777777" w:rsidR="007900B2" w:rsidRPr="001F0668" w:rsidRDefault="007900B2" w:rsidP="007900B2">
      <w:pPr>
        <w:pStyle w:val="Heading2"/>
        <w:rPr>
          <w:color w:val="F25E16"/>
        </w:rPr>
      </w:pPr>
      <w:proofErr w:type="spellStart"/>
      <w:r w:rsidRPr="001F0668">
        <w:rPr>
          <w:color w:val="F25E16"/>
        </w:rPr>
        <w:t>off_rating</w:t>
      </w:r>
      <w:proofErr w:type="spellEnd"/>
      <w:r w:rsidRPr="001F0668">
        <w:rPr>
          <w:color w:val="F25E16"/>
        </w:rPr>
        <w:t xml:space="preserve"> – Offensive Rating</w:t>
      </w:r>
    </w:p>
    <w:p w14:paraId="53D047FA" w14:textId="77777777" w:rsidR="007900B2" w:rsidRDefault="007900B2" w:rsidP="007900B2">
      <w:r>
        <w:t>Points scored per 100 possessions — team scoring efficiency.</w:t>
      </w:r>
    </w:p>
    <w:p w14:paraId="78661463" w14:textId="77777777" w:rsidR="007900B2" w:rsidRPr="001F0668" w:rsidRDefault="007900B2" w:rsidP="007900B2">
      <w:pPr>
        <w:pStyle w:val="Heading2"/>
        <w:rPr>
          <w:color w:val="F25E16"/>
        </w:rPr>
      </w:pPr>
      <w:proofErr w:type="spellStart"/>
      <w:r w:rsidRPr="001F0668">
        <w:rPr>
          <w:color w:val="F25E16"/>
        </w:rPr>
        <w:t>tov_pct</w:t>
      </w:r>
      <w:proofErr w:type="spellEnd"/>
      <w:r w:rsidRPr="001F0668">
        <w:rPr>
          <w:color w:val="F25E16"/>
        </w:rPr>
        <w:t xml:space="preserve"> – Turnover Percentage</w:t>
      </w:r>
    </w:p>
    <w:p w14:paraId="7F29209C" w14:textId="77777777" w:rsidR="007900B2" w:rsidRDefault="007900B2" w:rsidP="007900B2">
      <w:r>
        <w:t>How often the team turns the ball over per possession.</w:t>
      </w:r>
    </w:p>
    <w:p w14:paraId="67D4EA3E" w14:textId="77777777" w:rsidR="007900B2" w:rsidRPr="001F0668" w:rsidRDefault="007900B2" w:rsidP="007900B2">
      <w:pPr>
        <w:pStyle w:val="Heading2"/>
        <w:rPr>
          <w:color w:val="F25E16"/>
        </w:rPr>
      </w:pPr>
      <w:proofErr w:type="spellStart"/>
      <w:r w:rsidRPr="001F0668">
        <w:rPr>
          <w:color w:val="F25E16"/>
        </w:rPr>
        <w:t>ast_to_ratio</w:t>
      </w:r>
      <w:proofErr w:type="spellEnd"/>
      <w:r w:rsidRPr="001F0668">
        <w:rPr>
          <w:color w:val="F25E16"/>
        </w:rPr>
        <w:t xml:space="preserve"> – Assist to Turnover Ratio</w:t>
      </w:r>
    </w:p>
    <w:p w14:paraId="6E2B4A2D" w14:textId="77777777" w:rsidR="007900B2" w:rsidRDefault="007900B2" w:rsidP="007900B2">
      <w:r>
        <w:t>Number of assists per turnover — measures ball security vs. playmaking.</w:t>
      </w:r>
    </w:p>
    <w:p w14:paraId="0DC991A5" w14:textId="77777777" w:rsidR="007900B2" w:rsidRPr="001F0668" w:rsidRDefault="007900B2" w:rsidP="007900B2">
      <w:pPr>
        <w:pStyle w:val="Heading2"/>
        <w:rPr>
          <w:color w:val="F25E16"/>
        </w:rPr>
      </w:pPr>
      <w:proofErr w:type="spellStart"/>
      <w:r w:rsidRPr="001F0668">
        <w:rPr>
          <w:color w:val="F25E16"/>
        </w:rPr>
        <w:t>assist_pct</w:t>
      </w:r>
      <w:proofErr w:type="spellEnd"/>
      <w:r w:rsidRPr="001F0668">
        <w:rPr>
          <w:color w:val="F25E16"/>
        </w:rPr>
        <w:t xml:space="preserve"> – Assist Percentage</w:t>
      </w:r>
    </w:p>
    <w:p w14:paraId="08E50CA2" w14:textId="77777777" w:rsidR="007900B2" w:rsidRDefault="007900B2" w:rsidP="007900B2">
      <w:r>
        <w:t>Percentage of made field goals that were assisted.</w:t>
      </w:r>
    </w:p>
    <w:p w14:paraId="56226456" w14:textId="77777777" w:rsidR="007900B2" w:rsidRPr="001F0668" w:rsidRDefault="007900B2" w:rsidP="007900B2">
      <w:pPr>
        <w:pStyle w:val="Heading2"/>
        <w:rPr>
          <w:color w:val="F25E16"/>
        </w:rPr>
      </w:pPr>
      <w:proofErr w:type="spellStart"/>
      <w:r w:rsidRPr="001F0668">
        <w:rPr>
          <w:color w:val="F25E16"/>
        </w:rPr>
        <w:t>oreb_pct</w:t>
      </w:r>
      <w:proofErr w:type="spellEnd"/>
      <w:r w:rsidRPr="001F0668">
        <w:rPr>
          <w:color w:val="F25E16"/>
        </w:rPr>
        <w:t xml:space="preserve"> – Offensive Rebound %</w:t>
      </w:r>
    </w:p>
    <w:p w14:paraId="00702E02" w14:textId="77777777" w:rsidR="007900B2" w:rsidRDefault="007900B2" w:rsidP="007900B2">
      <w:r>
        <w:t>Share of total team rebounds that are offensive.</w:t>
      </w:r>
    </w:p>
    <w:p w14:paraId="6AA1B261" w14:textId="77777777" w:rsidR="007900B2" w:rsidRPr="001F0668" w:rsidRDefault="007900B2" w:rsidP="007900B2">
      <w:pPr>
        <w:pStyle w:val="Heading2"/>
        <w:rPr>
          <w:color w:val="F25E16"/>
        </w:rPr>
      </w:pPr>
      <w:proofErr w:type="spellStart"/>
      <w:r w:rsidRPr="001F0668">
        <w:rPr>
          <w:color w:val="F25E16"/>
        </w:rPr>
        <w:t>dreb_pct</w:t>
      </w:r>
      <w:proofErr w:type="spellEnd"/>
      <w:r w:rsidRPr="001F0668">
        <w:rPr>
          <w:color w:val="F25E16"/>
        </w:rPr>
        <w:t xml:space="preserve"> – Defensive Rebound %</w:t>
      </w:r>
    </w:p>
    <w:p w14:paraId="58452128" w14:textId="77777777" w:rsidR="007900B2" w:rsidRDefault="007900B2" w:rsidP="007900B2">
      <w:r>
        <w:t>Share of total team rebounds that are defensive.</w:t>
      </w:r>
    </w:p>
    <w:p w14:paraId="6F15F2BD" w14:textId="77777777" w:rsidR="007900B2" w:rsidRPr="001F0668" w:rsidRDefault="007900B2" w:rsidP="007900B2">
      <w:pPr>
        <w:pStyle w:val="Heading2"/>
        <w:rPr>
          <w:color w:val="F25E16"/>
        </w:rPr>
      </w:pPr>
      <w:r w:rsidRPr="001F0668">
        <w:rPr>
          <w:color w:val="F25E16"/>
        </w:rPr>
        <w:t>pct_pts_3pt – % Points from 3-Pointers</w:t>
      </w:r>
    </w:p>
    <w:p w14:paraId="380E3C7D" w14:textId="77777777" w:rsidR="007900B2" w:rsidRDefault="007900B2" w:rsidP="007900B2">
      <w:r>
        <w:t>Share of total points that came from 3-point shots.</w:t>
      </w:r>
    </w:p>
    <w:p w14:paraId="15335C9B" w14:textId="77777777" w:rsidR="007900B2" w:rsidRPr="001F0668" w:rsidRDefault="007900B2" w:rsidP="007900B2">
      <w:pPr>
        <w:pStyle w:val="Heading2"/>
        <w:rPr>
          <w:color w:val="F25E16"/>
        </w:rPr>
      </w:pPr>
      <w:proofErr w:type="spellStart"/>
      <w:r w:rsidRPr="001F0668">
        <w:rPr>
          <w:color w:val="F25E16"/>
        </w:rPr>
        <w:t>pct_pts_ft</w:t>
      </w:r>
      <w:proofErr w:type="spellEnd"/>
      <w:r w:rsidRPr="001F0668">
        <w:rPr>
          <w:color w:val="F25E16"/>
        </w:rPr>
        <w:t xml:space="preserve"> – % Points from Free Throws</w:t>
      </w:r>
    </w:p>
    <w:p w14:paraId="6E746DF0" w14:textId="77777777" w:rsidR="007900B2" w:rsidRDefault="007900B2" w:rsidP="007900B2">
      <w:r>
        <w:t>Share of total points that came from made free throws.</w:t>
      </w:r>
    </w:p>
    <w:p w14:paraId="03AA82E8" w14:textId="77777777" w:rsidR="007900B2" w:rsidRPr="001F0668" w:rsidRDefault="007900B2" w:rsidP="007900B2">
      <w:pPr>
        <w:pStyle w:val="Heading2"/>
        <w:rPr>
          <w:color w:val="F25E16"/>
        </w:rPr>
      </w:pPr>
      <w:proofErr w:type="spellStart"/>
      <w:r w:rsidRPr="001F0668">
        <w:rPr>
          <w:color w:val="F25E16"/>
        </w:rPr>
        <w:lastRenderedPageBreak/>
        <w:t>pct_pts_bench</w:t>
      </w:r>
      <w:proofErr w:type="spellEnd"/>
      <w:r w:rsidRPr="001F0668">
        <w:rPr>
          <w:color w:val="F25E16"/>
        </w:rPr>
        <w:t xml:space="preserve"> – % Points from Bench Players</w:t>
      </w:r>
    </w:p>
    <w:p w14:paraId="3F6CB55B" w14:textId="77777777" w:rsidR="007900B2" w:rsidRDefault="007900B2" w:rsidP="007900B2">
      <w:r>
        <w:t>Share of scoring contributed by bench players.</w:t>
      </w:r>
    </w:p>
    <w:p w14:paraId="48762AF1" w14:textId="77777777" w:rsidR="007900B2" w:rsidRPr="001F0668" w:rsidRDefault="007900B2" w:rsidP="007900B2">
      <w:pPr>
        <w:pStyle w:val="Heading2"/>
        <w:rPr>
          <w:color w:val="F25E16"/>
        </w:rPr>
      </w:pPr>
      <w:proofErr w:type="spellStart"/>
      <w:r w:rsidRPr="001F0668">
        <w:rPr>
          <w:color w:val="F25E16"/>
        </w:rPr>
        <w:t>pct_pts_paint</w:t>
      </w:r>
      <w:proofErr w:type="spellEnd"/>
      <w:r w:rsidRPr="001F0668">
        <w:rPr>
          <w:color w:val="F25E16"/>
        </w:rPr>
        <w:t xml:space="preserve"> – % Points in the Paint</w:t>
      </w:r>
    </w:p>
    <w:p w14:paraId="785A32F1" w14:textId="77777777" w:rsidR="007900B2" w:rsidRDefault="007900B2" w:rsidP="007900B2">
      <w:r>
        <w:t>Portion of points scored in the paint — close-range or post play.</w:t>
      </w:r>
    </w:p>
    <w:p w14:paraId="37614E1F" w14:textId="77777777" w:rsidR="007900B2" w:rsidRPr="001F0668" w:rsidRDefault="007900B2" w:rsidP="007900B2">
      <w:pPr>
        <w:pStyle w:val="Heading2"/>
        <w:rPr>
          <w:color w:val="F25E16"/>
        </w:rPr>
      </w:pPr>
      <w:proofErr w:type="spellStart"/>
      <w:r w:rsidRPr="001F0668">
        <w:rPr>
          <w:color w:val="F25E16"/>
        </w:rPr>
        <w:t>pct_pts_fastb</w:t>
      </w:r>
      <w:proofErr w:type="spellEnd"/>
      <w:r w:rsidRPr="001F0668">
        <w:rPr>
          <w:color w:val="F25E16"/>
        </w:rPr>
        <w:t xml:space="preserve"> – % Fast Break Points</w:t>
      </w:r>
    </w:p>
    <w:p w14:paraId="2AFEDDCB" w14:textId="77777777" w:rsidR="007900B2" w:rsidRDefault="007900B2" w:rsidP="007900B2">
      <w:r>
        <w:t>Portion of points scored in transition before the defense is set.</w:t>
      </w:r>
    </w:p>
    <w:p w14:paraId="0E8F891E" w14:textId="77777777" w:rsidR="007900B2" w:rsidRPr="001F0668" w:rsidRDefault="007900B2" w:rsidP="007900B2">
      <w:pPr>
        <w:pStyle w:val="Heading2"/>
        <w:rPr>
          <w:color w:val="F25E16"/>
        </w:rPr>
      </w:pPr>
      <w:r w:rsidRPr="001F0668">
        <w:rPr>
          <w:color w:val="F25E16"/>
        </w:rPr>
        <w:t>pct_pts_ch2 – % Second Chance Points</w:t>
      </w:r>
    </w:p>
    <w:p w14:paraId="338C0B9B" w14:textId="77777777" w:rsidR="007900B2" w:rsidRDefault="007900B2" w:rsidP="007900B2">
      <w:r>
        <w:t>Points scored after offensive rebounds — effort and hustle metric.</w:t>
      </w:r>
    </w:p>
    <w:p w14:paraId="1EA60CA2" w14:textId="77777777" w:rsidR="007900B2" w:rsidRPr="001F0668" w:rsidRDefault="007900B2" w:rsidP="007900B2">
      <w:pPr>
        <w:pStyle w:val="Heading2"/>
        <w:rPr>
          <w:color w:val="F25E16"/>
        </w:rPr>
      </w:pPr>
      <w:proofErr w:type="spellStart"/>
      <w:r w:rsidRPr="001F0668">
        <w:rPr>
          <w:color w:val="F25E16"/>
        </w:rPr>
        <w:t>pct_pts_to</w:t>
      </w:r>
      <w:proofErr w:type="spellEnd"/>
      <w:r w:rsidRPr="001F0668">
        <w:rPr>
          <w:color w:val="F25E16"/>
        </w:rPr>
        <w:t xml:space="preserve"> – % Points Off Turnovers</w:t>
      </w:r>
    </w:p>
    <w:p w14:paraId="633F55BA" w14:textId="77777777" w:rsidR="007900B2" w:rsidRDefault="007900B2" w:rsidP="007900B2">
      <w:r>
        <w:t>Share of points that came from forcing opponent turnovers.</w:t>
      </w:r>
    </w:p>
    <w:p w14:paraId="0FC8A73A" w14:textId="77777777" w:rsidR="007900B2" w:rsidRPr="001F0668" w:rsidRDefault="007900B2" w:rsidP="007900B2">
      <w:pPr>
        <w:pStyle w:val="Heading2"/>
        <w:rPr>
          <w:color w:val="F25E16"/>
        </w:rPr>
      </w:pPr>
      <w:proofErr w:type="spellStart"/>
      <w:r w:rsidRPr="001F0668">
        <w:rPr>
          <w:color w:val="F25E16"/>
        </w:rPr>
        <w:t>fta_rate</w:t>
      </w:r>
      <w:proofErr w:type="spellEnd"/>
      <w:r w:rsidRPr="001F0668">
        <w:rPr>
          <w:color w:val="F25E16"/>
        </w:rPr>
        <w:t xml:space="preserve"> – Free Throw Attempt Rate</w:t>
      </w:r>
    </w:p>
    <w:p w14:paraId="1FC409B4" w14:textId="77777777" w:rsidR="007900B2" w:rsidRDefault="007900B2" w:rsidP="007900B2">
      <w:r>
        <w:t>How often the team gets to the line — FTA per field goal attempt.</w:t>
      </w:r>
    </w:p>
    <w:p w14:paraId="3EB5099E" w14:textId="77777777" w:rsidR="007900B2" w:rsidRPr="001F0668" w:rsidRDefault="007900B2" w:rsidP="007900B2">
      <w:pPr>
        <w:pStyle w:val="Heading2"/>
        <w:rPr>
          <w:color w:val="F25E16"/>
        </w:rPr>
      </w:pPr>
      <w:r w:rsidRPr="001F0668">
        <w:rPr>
          <w:color w:val="F25E16"/>
        </w:rPr>
        <w:t>fga3_rate – 3-Point Attempt Rate</w:t>
      </w:r>
    </w:p>
    <w:p w14:paraId="423EDA53" w14:textId="77777777" w:rsidR="007900B2" w:rsidRDefault="007900B2" w:rsidP="007900B2">
      <w:r>
        <w:t>Proportion of total shots that are 3-point attempts.</w:t>
      </w:r>
    </w:p>
    <w:p w14:paraId="004A7986" w14:textId="77777777" w:rsidR="007900B2" w:rsidRPr="001F0668" w:rsidRDefault="007900B2" w:rsidP="007900B2">
      <w:pPr>
        <w:pStyle w:val="Heading2"/>
        <w:rPr>
          <w:color w:val="F25E16"/>
        </w:rPr>
      </w:pPr>
      <w:proofErr w:type="spellStart"/>
      <w:r w:rsidRPr="001F0668">
        <w:rPr>
          <w:color w:val="F25E16"/>
        </w:rPr>
        <w:t>play_pct</w:t>
      </w:r>
      <w:proofErr w:type="spellEnd"/>
      <w:r w:rsidRPr="001F0668">
        <w:rPr>
          <w:color w:val="F25E16"/>
        </w:rPr>
        <w:t xml:space="preserve"> – Play Conversion Percentage</w:t>
      </w:r>
    </w:p>
    <w:p w14:paraId="4424B537" w14:textId="77777777" w:rsidR="007900B2" w:rsidRDefault="007900B2" w:rsidP="007900B2">
      <w:r>
        <w:t>How often a possession ends in a made shot, adjusting for OREB and TO.</w:t>
      </w:r>
    </w:p>
    <w:p w14:paraId="7D438C5B" w14:textId="77777777" w:rsidR="007900B2" w:rsidRDefault="007900B2" w:rsidP="004A1DBC"/>
    <w:sectPr w:rsidR="007900B2" w:rsidSect="006A487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4770" w14:textId="77777777" w:rsidR="00053417" w:rsidRDefault="00053417" w:rsidP="00405F21">
      <w:pPr>
        <w:spacing w:after="0" w:line="240" w:lineRule="auto"/>
      </w:pPr>
      <w:r>
        <w:separator/>
      </w:r>
    </w:p>
  </w:endnote>
  <w:endnote w:type="continuationSeparator" w:id="0">
    <w:p w14:paraId="03C8F994" w14:textId="77777777" w:rsidR="00053417" w:rsidRDefault="00053417" w:rsidP="0040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E840A" w14:textId="0E69C1EA" w:rsidR="00405F21" w:rsidRDefault="00405F21" w:rsidP="00405F21">
    <w:pPr>
      <w:pStyle w:val="Footer"/>
    </w:pPr>
    <w:r>
      <w:rPr>
        <w:noProof/>
      </w:rPr>
      <w:drawing>
        <wp:anchor distT="0" distB="0" distL="114300" distR="114300" simplePos="0" relativeHeight="251658240" behindDoc="0" locked="0" layoutInCell="1" allowOverlap="1" wp14:anchorId="0A40DA25" wp14:editId="45D39C92">
          <wp:simplePos x="0" y="0"/>
          <wp:positionH relativeFrom="column">
            <wp:posOffset>-842645</wp:posOffset>
          </wp:positionH>
          <wp:positionV relativeFrom="paragraph">
            <wp:posOffset>-113983</wp:posOffset>
          </wp:positionV>
          <wp:extent cx="485775" cy="485775"/>
          <wp:effectExtent l="0" t="0" r="0" b="0"/>
          <wp:wrapNone/>
          <wp:docPr id="1285812188" name="Picture 1" descr="A purple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9490" name="Picture 1" descr="A purple and orange logo&#10;&#10;AI-generated content may be incorrect."/>
                  <pic:cNvPicPr/>
                </pic:nvPicPr>
                <pic:blipFill>
                  <a:blip r:embed="rId1"/>
                  <a:stretch>
                    <a:fillRect/>
                  </a:stretch>
                </pic:blipFill>
                <pic:spPr>
                  <a:xfrm>
                    <a:off x="0" y="0"/>
                    <a:ext cx="485775" cy="4857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C3C32" w14:textId="77777777" w:rsidR="00053417" w:rsidRDefault="00053417" w:rsidP="00405F21">
      <w:pPr>
        <w:spacing w:after="0" w:line="240" w:lineRule="auto"/>
      </w:pPr>
      <w:r>
        <w:separator/>
      </w:r>
    </w:p>
  </w:footnote>
  <w:footnote w:type="continuationSeparator" w:id="0">
    <w:p w14:paraId="3973FE72" w14:textId="77777777" w:rsidR="00053417" w:rsidRDefault="00053417" w:rsidP="00405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CA55ED"/>
    <w:multiLevelType w:val="hybridMultilevel"/>
    <w:tmpl w:val="129A22C2"/>
    <w:lvl w:ilvl="0" w:tplc="4D3ECD1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718ED"/>
    <w:multiLevelType w:val="multilevel"/>
    <w:tmpl w:val="E6FA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04DF1"/>
    <w:multiLevelType w:val="multilevel"/>
    <w:tmpl w:val="9DB6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415514"/>
    <w:multiLevelType w:val="multilevel"/>
    <w:tmpl w:val="583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2797E"/>
    <w:multiLevelType w:val="multilevel"/>
    <w:tmpl w:val="5BD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19279">
    <w:abstractNumId w:val="8"/>
  </w:num>
  <w:num w:numId="2" w16cid:durableId="1997954347">
    <w:abstractNumId w:val="6"/>
  </w:num>
  <w:num w:numId="3" w16cid:durableId="1949501847">
    <w:abstractNumId w:val="5"/>
  </w:num>
  <w:num w:numId="4" w16cid:durableId="176117124">
    <w:abstractNumId w:val="4"/>
  </w:num>
  <w:num w:numId="5" w16cid:durableId="703290431">
    <w:abstractNumId w:val="7"/>
  </w:num>
  <w:num w:numId="6" w16cid:durableId="1926960519">
    <w:abstractNumId w:val="3"/>
  </w:num>
  <w:num w:numId="7" w16cid:durableId="1728720629">
    <w:abstractNumId w:val="2"/>
  </w:num>
  <w:num w:numId="8" w16cid:durableId="487408558">
    <w:abstractNumId w:val="1"/>
  </w:num>
  <w:num w:numId="9" w16cid:durableId="828404385">
    <w:abstractNumId w:val="0"/>
  </w:num>
  <w:num w:numId="10" w16cid:durableId="659238815">
    <w:abstractNumId w:val="9"/>
  </w:num>
  <w:num w:numId="11" w16cid:durableId="1991865573">
    <w:abstractNumId w:val="13"/>
  </w:num>
  <w:num w:numId="12" w16cid:durableId="1905137059">
    <w:abstractNumId w:val="10"/>
  </w:num>
  <w:num w:numId="13" w16cid:durableId="1365012671">
    <w:abstractNumId w:val="11"/>
  </w:num>
  <w:num w:numId="14" w16cid:durableId="1618411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3C1"/>
    <w:rsid w:val="00030AC7"/>
    <w:rsid w:val="00034616"/>
    <w:rsid w:val="00053417"/>
    <w:rsid w:val="00056B3A"/>
    <w:rsid w:val="0006063C"/>
    <w:rsid w:val="00061C43"/>
    <w:rsid w:val="00083D7C"/>
    <w:rsid w:val="00096AD9"/>
    <w:rsid w:val="000C0EB3"/>
    <w:rsid w:val="000C21A9"/>
    <w:rsid w:val="000C61CA"/>
    <w:rsid w:val="000D119B"/>
    <w:rsid w:val="000F14B4"/>
    <w:rsid w:val="00103CF0"/>
    <w:rsid w:val="001353C5"/>
    <w:rsid w:val="0015074B"/>
    <w:rsid w:val="00172ED7"/>
    <w:rsid w:val="001B4E89"/>
    <w:rsid w:val="001B4EF5"/>
    <w:rsid w:val="001B59EA"/>
    <w:rsid w:val="001B6014"/>
    <w:rsid w:val="001D5801"/>
    <w:rsid w:val="001F19C7"/>
    <w:rsid w:val="0022327E"/>
    <w:rsid w:val="00227DDD"/>
    <w:rsid w:val="00267BBE"/>
    <w:rsid w:val="0029639D"/>
    <w:rsid w:val="002979D2"/>
    <w:rsid w:val="00303BB0"/>
    <w:rsid w:val="00304458"/>
    <w:rsid w:val="003216F5"/>
    <w:rsid w:val="00326F90"/>
    <w:rsid w:val="0034202F"/>
    <w:rsid w:val="00362AED"/>
    <w:rsid w:val="00383B69"/>
    <w:rsid w:val="0039690B"/>
    <w:rsid w:val="003E125B"/>
    <w:rsid w:val="003E3408"/>
    <w:rsid w:val="003E735A"/>
    <w:rsid w:val="00405F21"/>
    <w:rsid w:val="00467489"/>
    <w:rsid w:val="004A1DBC"/>
    <w:rsid w:val="004C6EAF"/>
    <w:rsid w:val="004E16BF"/>
    <w:rsid w:val="004E5BDC"/>
    <w:rsid w:val="0051456C"/>
    <w:rsid w:val="00515CEA"/>
    <w:rsid w:val="005512DE"/>
    <w:rsid w:val="00552BBF"/>
    <w:rsid w:val="00561FB9"/>
    <w:rsid w:val="005D7874"/>
    <w:rsid w:val="00601749"/>
    <w:rsid w:val="00617B71"/>
    <w:rsid w:val="00685C1A"/>
    <w:rsid w:val="006A4870"/>
    <w:rsid w:val="006D2CC4"/>
    <w:rsid w:val="00780D79"/>
    <w:rsid w:val="007900B2"/>
    <w:rsid w:val="00796B6F"/>
    <w:rsid w:val="00797658"/>
    <w:rsid w:val="007A1B07"/>
    <w:rsid w:val="007A4958"/>
    <w:rsid w:val="007D1336"/>
    <w:rsid w:val="007D25E8"/>
    <w:rsid w:val="00831AAD"/>
    <w:rsid w:val="0085098B"/>
    <w:rsid w:val="00890659"/>
    <w:rsid w:val="008C4266"/>
    <w:rsid w:val="008E5560"/>
    <w:rsid w:val="008F0EF3"/>
    <w:rsid w:val="008F229A"/>
    <w:rsid w:val="00902096"/>
    <w:rsid w:val="00944507"/>
    <w:rsid w:val="009E5C06"/>
    <w:rsid w:val="00A208BB"/>
    <w:rsid w:val="00A37FAE"/>
    <w:rsid w:val="00A42207"/>
    <w:rsid w:val="00A45215"/>
    <w:rsid w:val="00A45E8E"/>
    <w:rsid w:val="00AA1D8D"/>
    <w:rsid w:val="00AD1D31"/>
    <w:rsid w:val="00AE5543"/>
    <w:rsid w:val="00B1119C"/>
    <w:rsid w:val="00B44E93"/>
    <w:rsid w:val="00B47730"/>
    <w:rsid w:val="00B66342"/>
    <w:rsid w:val="00B67906"/>
    <w:rsid w:val="00B701CE"/>
    <w:rsid w:val="00B76AE9"/>
    <w:rsid w:val="00BA5A88"/>
    <w:rsid w:val="00BB087A"/>
    <w:rsid w:val="00BC52A6"/>
    <w:rsid w:val="00BE2C76"/>
    <w:rsid w:val="00BF5863"/>
    <w:rsid w:val="00C24574"/>
    <w:rsid w:val="00C83806"/>
    <w:rsid w:val="00CB0664"/>
    <w:rsid w:val="00CD6CAD"/>
    <w:rsid w:val="00D048CC"/>
    <w:rsid w:val="00D36310"/>
    <w:rsid w:val="00D37861"/>
    <w:rsid w:val="00D43277"/>
    <w:rsid w:val="00DA5349"/>
    <w:rsid w:val="00DB0D28"/>
    <w:rsid w:val="00DC5170"/>
    <w:rsid w:val="00DF0AC1"/>
    <w:rsid w:val="00E351CA"/>
    <w:rsid w:val="00E67365"/>
    <w:rsid w:val="00E975FA"/>
    <w:rsid w:val="00EA0DFB"/>
    <w:rsid w:val="00EC0F4F"/>
    <w:rsid w:val="00EE01C5"/>
    <w:rsid w:val="00F16C2E"/>
    <w:rsid w:val="00F56746"/>
    <w:rsid w:val="00F73B52"/>
    <w:rsid w:val="00F77EDD"/>
    <w:rsid w:val="00F77F71"/>
    <w:rsid w:val="00F84435"/>
    <w:rsid w:val="00FC2BB5"/>
    <w:rsid w:val="00FC693F"/>
    <w:rsid w:val="00FD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BAA61B"/>
  <w14:defaultImageDpi w14:val="300"/>
  <w15:docId w15:val="{8D0EE716-F6BF-4848-A9C1-7EC84E75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A4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1AAD"/>
    <w:rPr>
      <w:color w:val="0000FF" w:themeColor="hyperlink"/>
      <w:u w:val="single"/>
    </w:rPr>
  </w:style>
  <w:style w:type="character" w:styleId="UnresolvedMention">
    <w:name w:val="Unresolved Mention"/>
    <w:basedOn w:val="DefaultParagraphFont"/>
    <w:uiPriority w:val="99"/>
    <w:semiHidden/>
    <w:unhideWhenUsed/>
    <w:rsid w:val="00831AAD"/>
    <w:rPr>
      <w:color w:val="605E5C"/>
      <w:shd w:val="clear" w:color="auto" w:fill="E1DFDD"/>
    </w:rPr>
  </w:style>
  <w:style w:type="table" w:styleId="GridTable4-Accent6">
    <w:name w:val="Grid Table 4 Accent 6"/>
    <w:basedOn w:val="TableNormal"/>
    <w:uiPriority w:val="49"/>
    <w:rsid w:val="0022327E"/>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4">
    <w:name w:val="Grid Table 4 Accent 4"/>
    <w:basedOn w:val="TableNormal"/>
    <w:uiPriority w:val="49"/>
    <w:rsid w:val="0022327E"/>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9389">
      <w:bodyDiv w:val="1"/>
      <w:marLeft w:val="0"/>
      <w:marRight w:val="0"/>
      <w:marTop w:val="0"/>
      <w:marBottom w:val="0"/>
      <w:divBdr>
        <w:top w:val="none" w:sz="0" w:space="0" w:color="auto"/>
        <w:left w:val="none" w:sz="0" w:space="0" w:color="auto"/>
        <w:bottom w:val="none" w:sz="0" w:space="0" w:color="auto"/>
        <w:right w:val="none" w:sz="0" w:space="0" w:color="auto"/>
      </w:divBdr>
    </w:div>
    <w:div w:id="46537732">
      <w:bodyDiv w:val="1"/>
      <w:marLeft w:val="0"/>
      <w:marRight w:val="0"/>
      <w:marTop w:val="0"/>
      <w:marBottom w:val="0"/>
      <w:divBdr>
        <w:top w:val="none" w:sz="0" w:space="0" w:color="auto"/>
        <w:left w:val="none" w:sz="0" w:space="0" w:color="auto"/>
        <w:bottom w:val="none" w:sz="0" w:space="0" w:color="auto"/>
        <w:right w:val="none" w:sz="0" w:space="0" w:color="auto"/>
      </w:divBdr>
    </w:div>
    <w:div w:id="81220708">
      <w:bodyDiv w:val="1"/>
      <w:marLeft w:val="0"/>
      <w:marRight w:val="0"/>
      <w:marTop w:val="0"/>
      <w:marBottom w:val="0"/>
      <w:divBdr>
        <w:top w:val="none" w:sz="0" w:space="0" w:color="auto"/>
        <w:left w:val="none" w:sz="0" w:space="0" w:color="auto"/>
        <w:bottom w:val="none" w:sz="0" w:space="0" w:color="auto"/>
        <w:right w:val="none" w:sz="0" w:space="0" w:color="auto"/>
      </w:divBdr>
    </w:div>
    <w:div w:id="149294540">
      <w:bodyDiv w:val="1"/>
      <w:marLeft w:val="0"/>
      <w:marRight w:val="0"/>
      <w:marTop w:val="0"/>
      <w:marBottom w:val="0"/>
      <w:divBdr>
        <w:top w:val="none" w:sz="0" w:space="0" w:color="auto"/>
        <w:left w:val="none" w:sz="0" w:space="0" w:color="auto"/>
        <w:bottom w:val="none" w:sz="0" w:space="0" w:color="auto"/>
        <w:right w:val="none" w:sz="0" w:space="0" w:color="auto"/>
      </w:divBdr>
    </w:div>
    <w:div w:id="155268214">
      <w:bodyDiv w:val="1"/>
      <w:marLeft w:val="0"/>
      <w:marRight w:val="0"/>
      <w:marTop w:val="0"/>
      <w:marBottom w:val="0"/>
      <w:divBdr>
        <w:top w:val="none" w:sz="0" w:space="0" w:color="auto"/>
        <w:left w:val="none" w:sz="0" w:space="0" w:color="auto"/>
        <w:bottom w:val="none" w:sz="0" w:space="0" w:color="auto"/>
        <w:right w:val="none" w:sz="0" w:space="0" w:color="auto"/>
      </w:divBdr>
    </w:div>
    <w:div w:id="169031488">
      <w:bodyDiv w:val="1"/>
      <w:marLeft w:val="0"/>
      <w:marRight w:val="0"/>
      <w:marTop w:val="0"/>
      <w:marBottom w:val="0"/>
      <w:divBdr>
        <w:top w:val="none" w:sz="0" w:space="0" w:color="auto"/>
        <w:left w:val="none" w:sz="0" w:space="0" w:color="auto"/>
        <w:bottom w:val="none" w:sz="0" w:space="0" w:color="auto"/>
        <w:right w:val="none" w:sz="0" w:space="0" w:color="auto"/>
      </w:divBdr>
    </w:div>
    <w:div w:id="169295597">
      <w:bodyDiv w:val="1"/>
      <w:marLeft w:val="0"/>
      <w:marRight w:val="0"/>
      <w:marTop w:val="0"/>
      <w:marBottom w:val="0"/>
      <w:divBdr>
        <w:top w:val="none" w:sz="0" w:space="0" w:color="auto"/>
        <w:left w:val="none" w:sz="0" w:space="0" w:color="auto"/>
        <w:bottom w:val="none" w:sz="0" w:space="0" w:color="auto"/>
        <w:right w:val="none" w:sz="0" w:space="0" w:color="auto"/>
      </w:divBdr>
    </w:div>
    <w:div w:id="218245321">
      <w:bodyDiv w:val="1"/>
      <w:marLeft w:val="0"/>
      <w:marRight w:val="0"/>
      <w:marTop w:val="0"/>
      <w:marBottom w:val="0"/>
      <w:divBdr>
        <w:top w:val="none" w:sz="0" w:space="0" w:color="auto"/>
        <w:left w:val="none" w:sz="0" w:space="0" w:color="auto"/>
        <w:bottom w:val="none" w:sz="0" w:space="0" w:color="auto"/>
        <w:right w:val="none" w:sz="0" w:space="0" w:color="auto"/>
      </w:divBdr>
    </w:div>
    <w:div w:id="279458140">
      <w:bodyDiv w:val="1"/>
      <w:marLeft w:val="0"/>
      <w:marRight w:val="0"/>
      <w:marTop w:val="0"/>
      <w:marBottom w:val="0"/>
      <w:divBdr>
        <w:top w:val="none" w:sz="0" w:space="0" w:color="auto"/>
        <w:left w:val="none" w:sz="0" w:space="0" w:color="auto"/>
        <w:bottom w:val="none" w:sz="0" w:space="0" w:color="auto"/>
        <w:right w:val="none" w:sz="0" w:space="0" w:color="auto"/>
      </w:divBdr>
    </w:div>
    <w:div w:id="286282762">
      <w:bodyDiv w:val="1"/>
      <w:marLeft w:val="0"/>
      <w:marRight w:val="0"/>
      <w:marTop w:val="0"/>
      <w:marBottom w:val="0"/>
      <w:divBdr>
        <w:top w:val="none" w:sz="0" w:space="0" w:color="auto"/>
        <w:left w:val="none" w:sz="0" w:space="0" w:color="auto"/>
        <w:bottom w:val="none" w:sz="0" w:space="0" w:color="auto"/>
        <w:right w:val="none" w:sz="0" w:space="0" w:color="auto"/>
      </w:divBdr>
    </w:div>
    <w:div w:id="364256734">
      <w:bodyDiv w:val="1"/>
      <w:marLeft w:val="0"/>
      <w:marRight w:val="0"/>
      <w:marTop w:val="0"/>
      <w:marBottom w:val="0"/>
      <w:divBdr>
        <w:top w:val="none" w:sz="0" w:space="0" w:color="auto"/>
        <w:left w:val="none" w:sz="0" w:space="0" w:color="auto"/>
        <w:bottom w:val="none" w:sz="0" w:space="0" w:color="auto"/>
        <w:right w:val="none" w:sz="0" w:space="0" w:color="auto"/>
      </w:divBdr>
    </w:div>
    <w:div w:id="395402498">
      <w:bodyDiv w:val="1"/>
      <w:marLeft w:val="0"/>
      <w:marRight w:val="0"/>
      <w:marTop w:val="0"/>
      <w:marBottom w:val="0"/>
      <w:divBdr>
        <w:top w:val="none" w:sz="0" w:space="0" w:color="auto"/>
        <w:left w:val="none" w:sz="0" w:space="0" w:color="auto"/>
        <w:bottom w:val="none" w:sz="0" w:space="0" w:color="auto"/>
        <w:right w:val="none" w:sz="0" w:space="0" w:color="auto"/>
      </w:divBdr>
    </w:div>
    <w:div w:id="417286477">
      <w:bodyDiv w:val="1"/>
      <w:marLeft w:val="0"/>
      <w:marRight w:val="0"/>
      <w:marTop w:val="0"/>
      <w:marBottom w:val="0"/>
      <w:divBdr>
        <w:top w:val="none" w:sz="0" w:space="0" w:color="auto"/>
        <w:left w:val="none" w:sz="0" w:space="0" w:color="auto"/>
        <w:bottom w:val="none" w:sz="0" w:space="0" w:color="auto"/>
        <w:right w:val="none" w:sz="0" w:space="0" w:color="auto"/>
      </w:divBdr>
    </w:div>
    <w:div w:id="463667423">
      <w:bodyDiv w:val="1"/>
      <w:marLeft w:val="0"/>
      <w:marRight w:val="0"/>
      <w:marTop w:val="0"/>
      <w:marBottom w:val="0"/>
      <w:divBdr>
        <w:top w:val="none" w:sz="0" w:space="0" w:color="auto"/>
        <w:left w:val="none" w:sz="0" w:space="0" w:color="auto"/>
        <w:bottom w:val="none" w:sz="0" w:space="0" w:color="auto"/>
        <w:right w:val="none" w:sz="0" w:space="0" w:color="auto"/>
      </w:divBdr>
    </w:div>
    <w:div w:id="469711779">
      <w:bodyDiv w:val="1"/>
      <w:marLeft w:val="0"/>
      <w:marRight w:val="0"/>
      <w:marTop w:val="0"/>
      <w:marBottom w:val="0"/>
      <w:divBdr>
        <w:top w:val="none" w:sz="0" w:space="0" w:color="auto"/>
        <w:left w:val="none" w:sz="0" w:space="0" w:color="auto"/>
        <w:bottom w:val="none" w:sz="0" w:space="0" w:color="auto"/>
        <w:right w:val="none" w:sz="0" w:space="0" w:color="auto"/>
      </w:divBdr>
    </w:div>
    <w:div w:id="532615854">
      <w:bodyDiv w:val="1"/>
      <w:marLeft w:val="0"/>
      <w:marRight w:val="0"/>
      <w:marTop w:val="0"/>
      <w:marBottom w:val="0"/>
      <w:divBdr>
        <w:top w:val="none" w:sz="0" w:space="0" w:color="auto"/>
        <w:left w:val="none" w:sz="0" w:space="0" w:color="auto"/>
        <w:bottom w:val="none" w:sz="0" w:space="0" w:color="auto"/>
        <w:right w:val="none" w:sz="0" w:space="0" w:color="auto"/>
      </w:divBdr>
    </w:div>
    <w:div w:id="578296847">
      <w:bodyDiv w:val="1"/>
      <w:marLeft w:val="0"/>
      <w:marRight w:val="0"/>
      <w:marTop w:val="0"/>
      <w:marBottom w:val="0"/>
      <w:divBdr>
        <w:top w:val="none" w:sz="0" w:space="0" w:color="auto"/>
        <w:left w:val="none" w:sz="0" w:space="0" w:color="auto"/>
        <w:bottom w:val="none" w:sz="0" w:space="0" w:color="auto"/>
        <w:right w:val="none" w:sz="0" w:space="0" w:color="auto"/>
      </w:divBdr>
    </w:div>
    <w:div w:id="662857266">
      <w:bodyDiv w:val="1"/>
      <w:marLeft w:val="0"/>
      <w:marRight w:val="0"/>
      <w:marTop w:val="0"/>
      <w:marBottom w:val="0"/>
      <w:divBdr>
        <w:top w:val="none" w:sz="0" w:space="0" w:color="auto"/>
        <w:left w:val="none" w:sz="0" w:space="0" w:color="auto"/>
        <w:bottom w:val="none" w:sz="0" w:space="0" w:color="auto"/>
        <w:right w:val="none" w:sz="0" w:space="0" w:color="auto"/>
      </w:divBdr>
    </w:div>
    <w:div w:id="690641089">
      <w:bodyDiv w:val="1"/>
      <w:marLeft w:val="0"/>
      <w:marRight w:val="0"/>
      <w:marTop w:val="0"/>
      <w:marBottom w:val="0"/>
      <w:divBdr>
        <w:top w:val="none" w:sz="0" w:space="0" w:color="auto"/>
        <w:left w:val="none" w:sz="0" w:space="0" w:color="auto"/>
        <w:bottom w:val="none" w:sz="0" w:space="0" w:color="auto"/>
        <w:right w:val="none" w:sz="0" w:space="0" w:color="auto"/>
      </w:divBdr>
    </w:div>
    <w:div w:id="803350418">
      <w:bodyDiv w:val="1"/>
      <w:marLeft w:val="0"/>
      <w:marRight w:val="0"/>
      <w:marTop w:val="0"/>
      <w:marBottom w:val="0"/>
      <w:divBdr>
        <w:top w:val="none" w:sz="0" w:space="0" w:color="auto"/>
        <w:left w:val="none" w:sz="0" w:space="0" w:color="auto"/>
        <w:bottom w:val="none" w:sz="0" w:space="0" w:color="auto"/>
        <w:right w:val="none" w:sz="0" w:space="0" w:color="auto"/>
      </w:divBdr>
    </w:div>
    <w:div w:id="822309799">
      <w:bodyDiv w:val="1"/>
      <w:marLeft w:val="0"/>
      <w:marRight w:val="0"/>
      <w:marTop w:val="0"/>
      <w:marBottom w:val="0"/>
      <w:divBdr>
        <w:top w:val="none" w:sz="0" w:space="0" w:color="auto"/>
        <w:left w:val="none" w:sz="0" w:space="0" w:color="auto"/>
        <w:bottom w:val="none" w:sz="0" w:space="0" w:color="auto"/>
        <w:right w:val="none" w:sz="0" w:space="0" w:color="auto"/>
      </w:divBdr>
    </w:div>
    <w:div w:id="822431215">
      <w:bodyDiv w:val="1"/>
      <w:marLeft w:val="0"/>
      <w:marRight w:val="0"/>
      <w:marTop w:val="0"/>
      <w:marBottom w:val="0"/>
      <w:divBdr>
        <w:top w:val="none" w:sz="0" w:space="0" w:color="auto"/>
        <w:left w:val="none" w:sz="0" w:space="0" w:color="auto"/>
        <w:bottom w:val="none" w:sz="0" w:space="0" w:color="auto"/>
        <w:right w:val="none" w:sz="0" w:space="0" w:color="auto"/>
      </w:divBdr>
    </w:div>
    <w:div w:id="850027889">
      <w:bodyDiv w:val="1"/>
      <w:marLeft w:val="0"/>
      <w:marRight w:val="0"/>
      <w:marTop w:val="0"/>
      <w:marBottom w:val="0"/>
      <w:divBdr>
        <w:top w:val="none" w:sz="0" w:space="0" w:color="auto"/>
        <w:left w:val="none" w:sz="0" w:space="0" w:color="auto"/>
        <w:bottom w:val="none" w:sz="0" w:space="0" w:color="auto"/>
        <w:right w:val="none" w:sz="0" w:space="0" w:color="auto"/>
      </w:divBdr>
    </w:div>
    <w:div w:id="878934711">
      <w:bodyDiv w:val="1"/>
      <w:marLeft w:val="0"/>
      <w:marRight w:val="0"/>
      <w:marTop w:val="0"/>
      <w:marBottom w:val="0"/>
      <w:divBdr>
        <w:top w:val="none" w:sz="0" w:space="0" w:color="auto"/>
        <w:left w:val="none" w:sz="0" w:space="0" w:color="auto"/>
        <w:bottom w:val="none" w:sz="0" w:space="0" w:color="auto"/>
        <w:right w:val="none" w:sz="0" w:space="0" w:color="auto"/>
      </w:divBdr>
    </w:div>
    <w:div w:id="889809190">
      <w:bodyDiv w:val="1"/>
      <w:marLeft w:val="0"/>
      <w:marRight w:val="0"/>
      <w:marTop w:val="0"/>
      <w:marBottom w:val="0"/>
      <w:divBdr>
        <w:top w:val="none" w:sz="0" w:space="0" w:color="auto"/>
        <w:left w:val="none" w:sz="0" w:space="0" w:color="auto"/>
        <w:bottom w:val="none" w:sz="0" w:space="0" w:color="auto"/>
        <w:right w:val="none" w:sz="0" w:space="0" w:color="auto"/>
      </w:divBdr>
    </w:div>
    <w:div w:id="914242354">
      <w:bodyDiv w:val="1"/>
      <w:marLeft w:val="0"/>
      <w:marRight w:val="0"/>
      <w:marTop w:val="0"/>
      <w:marBottom w:val="0"/>
      <w:divBdr>
        <w:top w:val="none" w:sz="0" w:space="0" w:color="auto"/>
        <w:left w:val="none" w:sz="0" w:space="0" w:color="auto"/>
        <w:bottom w:val="none" w:sz="0" w:space="0" w:color="auto"/>
        <w:right w:val="none" w:sz="0" w:space="0" w:color="auto"/>
      </w:divBdr>
    </w:div>
    <w:div w:id="972717155">
      <w:bodyDiv w:val="1"/>
      <w:marLeft w:val="0"/>
      <w:marRight w:val="0"/>
      <w:marTop w:val="0"/>
      <w:marBottom w:val="0"/>
      <w:divBdr>
        <w:top w:val="none" w:sz="0" w:space="0" w:color="auto"/>
        <w:left w:val="none" w:sz="0" w:space="0" w:color="auto"/>
        <w:bottom w:val="none" w:sz="0" w:space="0" w:color="auto"/>
        <w:right w:val="none" w:sz="0" w:space="0" w:color="auto"/>
      </w:divBdr>
    </w:div>
    <w:div w:id="1008294914">
      <w:bodyDiv w:val="1"/>
      <w:marLeft w:val="0"/>
      <w:marRight w:val="0"/>
      <w:marTop w:val="0"/>
      <w:marBottom w:val="0"/>
      <w:divBdr>
        <w:top w:val="none" w:sz="0" w:space="0" w:color="auto"/>
        <w:left w:val="none" w:sz="0" w:space="0" w:color="auto"/>
        <w:bottom w:val="none" w:sz="0" w:space="0" w:color="auto"/>
        <w:right w:val="none" w:sz="0" w:space="0" w:color="auto"/>
      </w:divBdr>
    </w:div>
    <w:div w:id="1013460054">
      <w:bodyDiv w:val="1"/>
      <w:marLeft w:val="0"/>
      <w:marRight w:val="0"/>
      <w:marTop w:val="0"/>
      <w:marBottom w:val="0"/>
      <w:divBdr>
        <w:top w:val="none" w:sz="0" w:space="0" w:color="auto"/>
        <w:left w:val="none" w:sz="0" w:space="0" w:color="auto"/>
        <w:bottom w:val="none" w:sz="0" w:space="0" w:color="auto"/>
        <w:right w:val="none" w:sz="0" w:space="0" w:color="auto"/>
      </w:divBdr>
    </w:div>
    <w:div w:id="1052195575">
      <w:bodyDiv w:val="1"/>
      <w:marLeft w:val="0"/>
      <w:marRight w:val="0"/>
      <w:marTop w:val="0"/>
      <w:marBottom w:val="0"/>
      <w:divBdr>
        <w:top w:val="none" w:sz="0" w:space="0" w:color="auto"/>
        <w:left w:val="none" w:sz="0" w:space="0" w:color="auto"/>
        <w:bottom w:val="none" w:sz="0" w:space="0" w:color="auto"/>
        <w:right w:val="none" w:sz="0" w:space="0" w:color="auto"/>
      </w:divBdr>
    </w:div>
    <w:div w:id="1059397518">
      <w:bodyDiv w:val="1"/>
      <w:marLeft w:val="0"/>
      <w:marRight w:val="0"/>
      <w:marTop w:val="0"/>
      <w:marBottom w:val="0"/>
      <w:divBdr>
        <w:top w:val="none" w:sz="0" w:space="0" w:color="auto"/>
        <w:left w:val="none" w:sz="0" w:space="0" w:color="auto"/>
        <w:bottom w:val="none" w:sz="0" w:space="0" w:color="auto"/>
        <w:right w:val="none" w:sz="0" w:space="0" w:color="auto"/>
      </w:divBdr>
    </w:div>
    <w:div w:id="1074934430">
      <w:bodyDiv w:val="1"/>
      <w:marLeft w:val="0"/>
      <w:marRight w:val="0"/>
      <w:marTop w:val="0"/>
      <w:marBottom w:val="0"/>
      <w:divBdr>
        <w:top w:val="none" w:sz="0" w:space="0" w:color="auto"/>
        <w:left w:val="none" w:sz="0" w:space="0" w:color="auto"/>
        <w:bottom w:val="none" w:sz="0" w:space="0" w:color="auto"/>
        <w:right w:val="none" w:sz="0" w:space="0" w:color="auto"/>
      </w:divBdr>
    </w:div>
    <w:div w:id="1213886443">
      <w:bodyDiv w:val="1"/>
      <w:marLeft w:val="0"/>
      <w:marRight w:val="0"/>
      <w:marTop w:val="0"/>
      <w:marBottom w:val="0"/>
      <w:divBdr>
        <w:top w:val="none" w:sz="0" w:space="0" w:color="auto"/>
        <w:left w:val="none" w:sz="0" w:space="0" w:color="auto"/>
        <w:bottom w:val="none" w:sz="0" w:space="0" w:color="auto"/>
        <w:right w:val="none" w:sz="0" w:space="0" w:color="auto"/>
      </w:divBdr>
    </w:div>
    <w:div w:id="1240628916">
      <w:bodyDiv w:val="1"/>
      <w:marLeft w:val="0"/>
      <w:marRight w:val="0"/>
      <w:marTop w:val="0"/>
      <w:marBottom w:val="0"/>
      <w:divBdr>
        <w:top w:val="none" w:sz="0" w:space="0" w:color="auto"/>
        <w:left w:val="none" w:sz="0" w:space="0" w:color="auto"/>
        <w:bottom w:val="none" w:sz="0" w:space="0" w:color="auto"/>
        <w:right w:val="none" w:sz="0" w:space="0" w:color="auto"/>
      </w:divBdr>
    </w:div>
    <w:div w:id="1253588269">
      <w:bodyDiv w:val="1"/>
      <w:marLeft w:val="0"/>
      <w:marRight w:val="0"/>
      <w:marTop w:val="0"/>
      <w:marBottom w:val="0"/>
      <w:divBdr>
        <w:top w:val="none" w:sz="0" w:space="0" w:color="auto"/>
        <w:left w:val="none" w:sz="0" w:space="0" w:color="auto"/>
        <w:bottom w:val="none" w:sz="0" w:space="0" w:color="auto"/>
        <w:right w:val="none" w:sz="0" w:space="0" w:color="auto"/>
      </w:divBdr>
    </w:div>
    <w:div w:id="1296137770">
      <w:bodyDiv w:val="1"/>
      <w:marLeft w:val="0"/>
      <w:marRight w:val="0"/>
      <w:marTop w:val="0"/>
      <w:marBottom w:val="0"/>
      <w:divBdr>
        <w:top w:val="none" w:sz="0" w:space="0" w:color="auto"/>
        <w:left w:val="none" w:sz="0" w:space="0" w:color="auto"/>
        <w:bottom w:val="none" w:sz="0" w:space="0" w:color="auto"/>
        <w:right w:val="none" w:sz="0" w:space="0" w:color="auto"/>
      </w:divBdr>
    </w:div>
    <w:div w:id="1298990774">
      <w:bodyDiv w:val="1"/>
      <w:marLeft w:val="0"/>
      <w:marRight w:val="0"/>
      <w:marTop w:val="0"/>
      <w:marBottom w:val="0"/>
      <w:divBdr>
        <w:top w:val="none" w:sz="0" w:space="0" w:color="auto"/>
        <w:left w:val="none" w:sz="0" w:space="0" w:color="auto"/>
        <w:bottom w:val="none" w:sz="0" w:space="0" w:color="auto"/>
        <w:right w:val="none" w:sz="0" w:space="0" w:color="auto"/>
      </w:divBdr>
    </w:div>
    <w:div w:id="1302927327">
      <w:bodyDiv w:val="1"/>
      <w:marLeft w:val="0"/>
      <w:marRight w:val="0"/>
      <w:marTop w:val="0"/>
      <w:marBottom w:val="0"/>
      <w:divBdr>
        <w:top w:val="none" w:sz="0" w:space="0" w:color="auto"/>
        <w:left w:val="none" w:sz="0" w:space="0" w:color="auto"/>
        <w:bottom w:val="none" w:sz="0" w:space="0" w:color="auto"/>
        <w:right w:val="none" w:sz="0" w:space="0" w:color="auto"/>
      </w:divBdr>
    </w:div>
    <w:div w:id="1321277117">
      <w:bodyDiv w:val="1"/>
      <w:marLeft w:val="0"/>
      <w:marRight w:val="0"/>
      <w:marTop w:val="0"/>
      <w:marBottom w:val="0"/>
      <w:divBdr>
        <w:top w:val="none" w:sz="0" w:space="0" w:color="auto"/>
        <w:left w:val="none" w:sz="0" w:space="0" w:color="auto"/>
        <w:bottom w:val="none" w:sz="0" w:space="0" w:color="auto"/>
        <w:right w:val="none" w:sz="0" w:space="0" w:color="auto"/>
      </w:divBdr>
      <w:divsChild>
        <w:div w:id="70202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752128">
      <w:bodyDiv w:val="1"/>
      <w:marLeft w:val="0"/>
      <w:marRight w:val="0"/>
      <w:marTop w:val="0"/>
      <w:marBottom w:val="0"/>
      <w:divBdr>
        <w:top w:val="none" w:sz="0" w:space="0" w:color="auto"/>
        <w:left w:val="none" w:sz="0" w:space="0" w:color="auto"/>
        <w:bottom w:val="none" w:sz="0" w:space="0" w:color="auto"/>
        <w:right w:val="none" w:sz="0" w:space="0" w:color="auto"/>
      </w:divBdr>
    </w:div>
    <w:div w:id="1339622105">
      <w:bodyDiv w:val="1"/>
      <w:marLeft w:val="0"/>
      <w:marRight w:val="0"/>
      <w:marTop w:val="0"/>
      <w:marBottom w:val="0"/>
      <w:divBdr>
        <w:top w:val="none" w:sz="0" w:space="0" w:color="auto"/>
        <w:left w:val="none" w:sz="0" w:space="0" w:color="auto"/>
        <w:bottom w:val="none" w:sz="0" w:space="0" w:color="auto"/>
        <w:right w:val="none" w:sz="0" w:space="0" w:color="auto"/>
      </w:divBdr>
    </w:div>
    <w:div w:id="1417747938">
      <w:bodyDiv w:val="1"/>
      <w:marLeft w:val="0"/>
      <w:marRight w:val="0"/>
      <w:marTop w:val="0"/>
      <w:marBottom w:val="0"/>
      <w:divBdr>
        <w:top w:val="none" w:sz="0" w:space="0" w:color="auto"/>
        <w:left w:val="none" w:sz="0" w:space="0" w:color="auto"/>
        <w:bottom w:val="none" w:sz="0" w:space="0" w:color="auto"/>
        <w:right w:val="none" w:sz="0" w:space="0" w:color="auto"/>
      </w:divBdr>
    </w:div>
    <w:div w:id="1452362866">
      <w:bodyDiv w:val="1"/>
      <w:marLeft w:val="0"/>
      <w:marRight w:val="0"/>
      <w:marTop w:val="0"/>
      <w:marBottom w:val="0"/>
      <w:divBdr>
        <w:top w:val="none" w:sz="0" w:space="0" w:color="auto"/>
        <w:left w:val="none" w:sz="0" w:space="0" w:color="auto"/>
        <w:bottom w:val="none" w:sz="0" w:space="0" w:color="auto"/>
        <w:right w:val="none" w:sz="0" w:space="0" w:color="auto"/>
      </w:divBdr>
    </w:div>
    <w:div w:id="1571232751">
      <w:bodyDiv w:val="1"/>
      <w:marLeft w:val="0"/>
      <w:marRight w:val="0"/>
      <w:marTop w:val="0"/>
      <w:marBottom w:val="0"/>
      <w:divBdr>
        <w:top w:val="none" w:sz="0" w:space="0" w:color="auto"/>
        <w:left w:val="none" w:sz="0" w:space="0" w:color="auto"/>
        <w:bottom w:val="none" w:sz="0" w:space="0" w:color="auto"/>
        <w:right w:val="none" w:sz="0" w:space="0" w:color="auto"/>
      </w:divBdr>
    </w:div>
    <w:div w:id="1591961694">
      <w:bodyDiv w:val="1"/>
      <w:marLeft w:val="0"/>
      <w:marRight w:val="0"/>
      <w:marTop w:val="0"/>
      <w:marBottom w:val="0"/>
      <w:divBdr>
        <w:top w:val="none" w:sz="0" w:space="0" w:color="auto"/>
        <w:left w:val="none" w:sz="0" w:space="0" w:color="auto"/>
        <w:bottom w:val="none" w:sz="0" w:space="0" w:color="auto"/>
        <w:right w:val="none" w:sz="0" w:space="0" w:color="auto"/>
      </w:divBdr>
    </w:div>
    <w:div w:id="1611545910">
      <w:bodyDiv w:val="1"/>
      <w:marLeft w:val="0"/>
      <w:marRight w:val="0"/>
      <w:marTop w:val="0"/>
      <w:marBottom w:val="0"/>
      <w:divBdr>
        <w:top w:val="none" w:sz="0" w:space="0" w:color="auto"/>
        <w:left w:val="none" w:sz="0" w:space="0" w:color="auto"/>
        <w:bottom w:val="none" w:sz="0" w:space="0" w:color="auto"/>
        <w:right w:val="none" w:sz="0" w:space="0" w:color="auto"/>
      </w:divBdr>
    </w:div>
    <w:div w:id="1643457796">
      <w:bodyDiv w:val="1"/>
      <w:marLeft w:val="0"/>
      <w:marRight w:val="0"/>
      <w:marTop w:val="0"/>
      <w:marBottom w:val="0"/>
      <w:divBdr>
        <w:top w:val="none" w:sz="0" w:space="0" w:color="auto"/>
        <w:left w:val="none" w:sz="0" w:space="0" w:color="auto"/>
        <w:bottom w:val="none" w:sz="0" w:space="0" w:color="auto"/>
        <w:right w:val="none" w:sz="0" w:space="0" w:color="auto"/>
      </w:divBdr>
    </w:div>
    <w:div w:id="1669598865">
      <w:bodyDiv w:val="1"/>
      <w:marLeft w:val="0"/>
      <w:marRight w:val="0"/>
      <w:marTop w:val="0"/>
      <w:marBottom w:val="0"/>
      <w:divBdr>
        <w:top w:val="none" w:sz="0" w:space="0" w:color="auto"/>
        <w:left w:val="none" w:sz="0" w:space="0" w:color="auto"/>
        <w:bottom w:val="none" w:sz="0" w:space="0" w:color="auto"/>
        <w:right w:val="none" w:sz="0" w:space="0" w:color="auto"/>
      </w:divBdr>
    </w:div>
    <w:div w:id="1714770104">
      <w:bodyDiv w:val="1"/>
      <w:marLeft w:val="0"/>
      <w:marRight w:val="0"/>
      <w:marTop w:val="0"/>
      <w:marBottom w:val="0"/>
      <w:divBdr>
        <w:top w:val="none" w:sz="0" w:space="0" w:color="auto"/>
        <w:left w:val="none" w:sz="0" w:space="0" w:color="auto"/>
        <w:bottom w:val="none" w:sz="0" w:space="0" w:color="auto"/>
        <w:right w:val="none" w:sz="0" w:space="0" w:color="auto"/>
      </w:divBdr>
    </w:div>
    <w:div w:id="1764181260">
      <w:bodyDiv w:val="1"/>
      <w:marLeft w:val="0"/>
      <w:marRight w:val="0"/>
      <w:marTop w:val="0"/>
      <w:marBottom w:val="0"/>
      <w:divBdr>
        <w:top w:val="none" w:sz="0" w:space="0" w:color="auto"/>
        <w:left w:val="none" w:sz="0" w:space="0" w:color="auto"/>
        <w:bottom w:val="none" w:sz="0" w:space="0" w:color="auto"/>
        <w:right w:val="none" w:sz="0" w:space="0" w:color="auto"/>
      </w:divBdr>
    </w:div>
    <w:div w:id="1767727978">
      <w:bodyDiv w:val="1"/>
      <w:marLeft w:val="0"/>
      <w:marRight w:val="0"/>
      <w:marTop w:val="0"/>
      <w:marBottom w:val="0"/>
      <w:divBdr>
        <w:top w:val="none" w:sz="0" w:space="0" w:color="auto"/>
        <w:left w:val="none" w:sz="0" w:space="0" w:color="auto"/>
        <w:bottom w:val="none" w:sz="0" w:space="0" w:color="auto"/>
        <w:right w:val="none" w:sz="0" w:space="0" w:color="auto"/>
      </w:divBdr>
    </w:div>
    <w:div w:id="1777864867">
      <w:bodyDiv w:val="1"/>
      <w:marLeft w:val="0"/>
      <w:marRight w:val="0"/>
      <w:marTop w:val="0"/>
      <w:marBottom w:val="0"/>
      <w:divBdr>
        <w:top w:val="none" w:sz="0" w:space="0" w:color="auto"/>
        <w:left w:val="none" w:sz="0" w:space="0" w:color="auto"/>
        <w:bottom w:val="none" w:sz="0" w:space="0" w:color="auto"/>
        <w:right w:val="none" w:sz="0" w:space="0" w:color="auto"/>
      </w:divBdr>
    </w:div>
    <w:div w:id="1878737612">
      <w:bodyDiv w:val="1"/>
      <w:marLeft w:val="0"/>
      <w:marRight w:val="0"/>
      <w:marTop w:val="0"/>
      <w:marBottom w:val="0"/>
      <w:divBdr>
        <w:top w:val="none" w:sz="0" w:space="0" w:color="auto"/>
        <w:left w:val="none" w:sz="0" w:space="0" w:color="auto"/>
        <w:bottom w:val="none" w:sz="0" w:space="0" w:color="auto"/>
        <w:right w:val="none" w:sz="0" w:space="0" w:color="auto"/>
      </w:divBdr>
    </w:div>
    <w:div w:id="1906719123">
      <w:bodyDiv w:val="1"/>
      <w:marLeft w:val="0"/>
      <w:marRight w:val="0"/>
      <w:marTop w:val="0"/>
      <w:marBottom w:val="0"/>
      <w:divBdr>
        <w:top w:val="none" w:sz="0" w:space="0" w:color="auto"/>
        <w:left w:val="none" w:sz="0" w:space="0" w:color="auto"/>
        <w:bottom w:val="none" w:sz="0" w:space="0" w:color="auto"/>
        <w:right w:val="none" w:sz="0" w:space="0" w:color="auto"/>
      </w:divBdr>
    </w:div>
    <w:div w:id="1973486834">
      <w:bodyDiv w:val="1"/>
      <w:marLeft w:val="0"/>
      <w:marRight w:val="0"/>
      <w:marTop w:val="0"/>
      <w:marBottom w:val="0"/>
      <w:divBdr>
        <w:top w:val="none" w:sz="0" w:space="0" w:color="auto"/>
        <w:left w:val="none" w:sz="0" w:space="0" w:color="auto"/>
        <w:bottom w:val="none" w:sz="0" w:space="0" w:color="auto"/>
        <w:right w:val="none" w:sz="0" w:space="0" w:color="auto"/>
      </w:divBdr>
    </w:div>
    <w:div w:id="2019651825">
      <w:bodyDiv w:val="1"/>
      <w:marLeft w:val="0"/>
      <w:marRight w:val="0"/>
      <w:marTop w:val="0"/>
      <w:marBottom w:val="0"/>
      <w:divBdr>
        <w:top w:val="none" w:sz="0" w:space="0" w:color="auto"/>
        <w:left w:val="none" w:sz="0" w:space="0" w:color="auto"/>
        <w:bottom w:val="none" w:sz="0" w:space="0" w:color="auto"/>
        <w:right w:val="none" w:sz="0" w:space="0" w:color="auto"/>
      </w:divBdr>
    </w:div>
    <w:div w:id="2032754325">
      <w:bodyDiv w:val="1"/>
      <w:marLeft w:val="0"/>
      <w:marRight w:val="0"/>
      <w:marTop w:val="0"/>
      <w:marBottom w:val="0"/>
      <w:divBdr>
        <w:top w:val="none" w:sz="0" w:space="0" w:color="auto"/>
        <w:left w:val="none" w:sz="0" w:space="0" w:color="auto"/>
        <w:bottom w:val="none" w:sz="0" w:space="0" w:color="auto"/>
        <w:right w:val="none" w:sz="0" w:space="0" w:color="auto"/>
      </w:divBdr>
    </w:div>
    <w:div w:id="2044939413">
      <w:bodyDiv w:val="1"/>
      <w:marLeft w:val="0"/>
      <w:marRight w:val="0"/>
      <w:marTop w:val="0"/>
      <w:marBottom w:val="0"/>
      <w:divBdr>
        <w:top w:val="none" w:sz="0" w:space="0" w:color="auto"/>
        <w:left w:val="none" w:sz="0" w:space="0" w:color="auto"/>
        <w:bottom w:val="none" w:sz="0" w:space="0" w:color="auto"/>
        <w:right w:val="none" w:sz="0" w:space="0" w:color="auto"/>
      </w:divBdr>
    </w:div>
    <w:div w:id="2120833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Charles Bertram Garrett IV</cp:lastModifiedBy>
  <cp:revision>49</cp:revision>
  <cp:lastPrinted>2025-04-16T00:36:00Z</cp:lastPrinted>
  <dcterms:created xsi:type="dcterms:W3CDTF">2025-04-16T00:36:00Z</dcterms:created>
  <dcterms:modified xsi:type="dcterms:W3CDTF">2025-04-17T14:08:00Z</dcterms:modified>
  <cp:category/>
</cp:coreProperties>
</file>