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C5C95" w14:textId="51A68D7A" w:rsidR="00C40DEF" w:rsidRPr="00DF7AD2" w:rsidRDefault="00000000" w:rsidP="00DF7AD2">
      <w:pPr>
        <w:pStyle w:val="Title"/>
        <w:pBdr>
          <w:bottom w:val="single" w:sz="8" w:space="13" w:color="4F81BD" w:themeColor="accent1"/>
        </w:pBdr>
        <w:rPr>
          <w:color w:val="4C1078"/>
        </w:rPr>
      </w:pPr>
      <w:r w:rsidRPr="00DF7AD2">
        <w:rPr>
          <w:color w:val="4C1078"/>
        </w:rPr>
        <w:t>Hobart Basketball Back-to-Back Second Day Analysis (</w:t>
      </w:r>
      <w:r w:rsidR="00DF7AD2">
        <w:rPr>
          <w:color w:val="4C1078"/>
        </w:rPr>
        <w:t>2019-2025</w:t>
      </w:r>
      <w:r w:rsidRPr="00DF7AD2">
        <w:rPr>
          <w:color w:val="4C1078"/>
        </w:rPr>
        <w:t>)</w:t>
      </w:r>
    </w:p>
    <w:p w14:paraId="7D8D8C49" w14:textId="77777777" w:rsidR="00235C09" w:rsidRPr="00E351CA" w:rsidRDefault="00235C09" w:rsidP="00235C09">
      <w:pPr>
        <w:pStyle w:val="Heading1"/>
        <w:rPr>
          <w:color w:val="4C1078"/>
        </w:rPr>
      </w:pPr>
      <w:r w:rsidRPr="00E351CA">
        <w:rPr>
          <w:color w:val="4C1078"/>
        </w:rPr>
        <w:t>Executive Summary</w:t>
      </w:r>
    </w:p>
    <w:p w14:paraId="5211B30D" w14:textId="6E174E68" w:rsidR="00D87095" w:rsidRPr="002815CD" w:rsidRDefault="00D87095" w:rsidP="00D87095">
      <w:pPr>
        <w:rPr>
          <w:sz w:val="24"/>
          <w:szCs w:val="24"/>
        </w:rPr>
      </w:pPr>
      <w:r w:rsidRPr="002815CD">
        <w:rPr>
          <w:sz w:val="24"/>
          <w:szCs w:val="24"/>
        </w:rPr>
        <w:t xml:space="preserve">In this chapter, we examine Hobart Basketball’s overall performance over the past five seasons, comparing full-season averages to </w:t>
      </w:r>
      <w:proofErr w:type="gramStart"/>
      <w:r w:rsidRPr="002815CD">
        <w:rPr>
          <w:sz w:val="24"/>
          <w:szCs w:val="24"/>
        </w:rPr>
        <w:t>second-day</w:t>
      </w:r>
      <w:proofErr w:type="gramEnd"/>
      <w:r w:rsidRPr="002815CD">
        <w:rPr>
          <w:sz w:val="24"/>
          <w:szCs w:val="24"/>
        </w:rPr>
        <w:t xml:space="preserve"> back-to-back (B2B) games.</w:t>
      </w:r>
    </w:p>
    <w:p w14:paraId="0C0EDCEE" w14:textId="77777777" w:rsidR="00D87095" w:rsidRPr="002815CD" w:rsidRDefault="00D87095" w:rsidP="00D87095">
      <w:pPr>
        <w:rPr>
          <w:sz w:val="24"/>
          <w:szCs w:val="24"/>
        </w:rPr>
      </w:pPr>
      <w:r w:rsidRPr="002815CD">
        <w:rPr>
          <w:sz w:val="24"/>
          <w:szCs w:val="24"/>
        </w:rPr>
        <w:t>A distinctive feature of the Liberty League—Hobart’s conference—is its schedule structure. Of the 25 regular-season games, 18 are conference matchups, and 16 of those are played on consecutive Fridays and Saturdays. This results in at least eight games each season being played without a day of rest in between. Additionally, most teams participate in one or two non-conference tournaments, which are also commonly scheduled as B2B contests.</w:t>
      </w:r>
    </w:p>
    <w:p w14:paraId="10E23F36" w14:textId="56C85B05" w:rsidR="00E24DF6" w:rsidRPr="002815CD" w:rsidRDefault="00D87095" w:rsidP="00D87095">
      <w:pPr>
        <w:rPr>
          <w:sz w:val="24"/>
          <w:szCs w:val="24"/>
        </w:rPr>
      </w:pPr>
      <w:r w:rsidRPr="002815CD">
        <w:rPr>
          <w:sz w:val="24"/>
          <w:szCs w:val="24"/>
        </w:rPr>
        <w:t>Altogether, Hobart has played 44 second-day B2B games across the past five seasons. By comparing performance in those 44 games against their overall average from 135 total games during that span, we can identify trends and evaluate how B2B scenarios impact team performance.</w:t>
      </w:r>
      <w:r w:rsidR="009C5578" w:rsidRPr="009C5578">
        <w:rPr>
          <w:sz w:val="24"/>
          <w:szCs w:val="24"/>
        </w:rPr>
        <w:t xml:space="preserve"> </w:t>
      </w:r>
      <w:r w:rsidR="009C5578" w:rsidRPr="008366E8">
        <w:rPr>
          <w:sz w:val="24"/>
          <w:szCs w:val="24"/>
        </w:rPr>
        <w:t>Insights are supported with graphics for clarity and professional presentation.</w:t>
      </w:r>
    </w:p>
    <w:p w14:paraId="413EFA59" w14:textId="4F5C1788" w:rsidR="00E24DF6" w:rsidRDefault="00E24DF6" w:rsidP="00E24DF6">
      <w:pPr>
        <w:pStyle w:val="Heading2"/>
        <w:rPr>
          <w:color w:val="F25E16"/>
        </w:rPr>
      </w:pPr>
      <w:r>
        <w:rPr>
          <w:color w:val="F25E16"/>
        </w:rPr>
        <w:t xml:space="preserve">Second Day Back-to-Back </w:t>
      </w:r>
      <w:r w:rsidR="00235C09">
        <w:rPr>
          <w:color w:val="F25E16"/>
        </w:rPr>
        <w:t>Overview</w:t>
      </w:r>
    </w:p>
    <w:p w14:paraId="541192F1" w14:textId="44AF694D" w:rsidR="00E24DF6" w:rsidRPr="002815CD" w:rsidRDefault="00E24DF6">
      <w:pPr>
        <w:rPr>
          <w:sz w:val="24"/>
          <w:szCs w:val="24"/>
        </w:rPr>
      </w:pPr>
      <w:r w:rsidRPr="002815CD">
        <w:rPr>
          <w:sz w:val="24"/>
          <w:szCs w:val="24"/>
        </w:rPr>
        <w:t>Here we can see that out of the 44 games, Hobart has performed very well over the last 5 seasons, hosting 33 wins to 11 losses, good for a win percentage of 75.0%.</w:t>
      </w:r>
      <w:r w:rsidR="00D87095" w:rsidRPr="002815CD">
        <w:rPr>
          <w:sz w:val="24"/>
          <w:szCs w:val="24"/>
        </w:rPr>
        <w:t xml:space="preserve"> As mentioned above, 8 games a year in the Liberty League are played as a B2B. Preforming well and winning these games are vital to having a successful season.</w:t>
      </w:r>
    </w:p>
    <w:p w14:paraId="4EB06F70" w14:textId="7B553B04" w:rsidR="003A2BDA" w:rsidRDefault="00351BEE">
      <w:r w:rsidRPr="00E351CA">
        <w:rPr>
          <w:i/>
          <w:iCs/>
          <w:color w:val="BFBFBF" w:themeColor="background1" w:themeShade="BF"/>
        </w:rPr>
        <w:lastRenderedPageBreak/>
        <w:t xml:space="preserve">*These graphs were made with the assistance of </w:t>
      </w:r>
      <w:proofErr w:type="spellStart"/>
      <w:r w:rsidRPr="00E351CA">
        <w:rPr>
          <w:i/>
          <w:iCs/>
          <w:color w:val="BFBFBF" w:themeColor="background1" w:themeShade="BF"/>
        </w:rPr>
        <w:t>TheBricks</w:t>
      </w:r>
      <w:proofErr w:type="spellEnd"/>
      <w:r w:rsidR="00E24DF6">
        <w:rPr>
          <w:noProof/>
        </w:rPr>
        <w:drawing>
          <wp:inline distT="0" distB="0" distL="0" distR="0" wp14:anchorId="708185EE" wp14:editId="6639C4CB">
            <wp:extent cx="3997593" cy="2610465"/>
            <wp:effectExtent l="0" t="0" r="3175" b="6350"/>
            <wp:docPr id="505069337" name="Picture 1" descr="A graph showing a number of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69337" name="Picture 1" descr="A graph showing a number of different colored squares&#10;&#10;AI-generated content may be incorrect."/>
                    <pic:cNvPicPr/>
                  </pic:nvPicPr>
                  <pic:blipFill>
                    <a:blip r:embed="rId8"/>
                    <a:stretch>
                      <a:fillRect/>
                    </a:stretch>
                  </pic:blipFill>
                  <pic:spPr>
                    <a:xfrm>
                      <a:off x="0" y="0"/>
                      <a:ext cx="4020469" cy="2625404"/>
                    </a:xfrm>
                    <a:prstGeom prst="rect">
                      <a:avLst/>
                    </a:prstGeom>
                  </pic:spPr>
                </pic:pic>
              </a:graphicData>
            </a:graphic>
          </wp:inline>
        </w:drawing>
      </w:r>
    </w:p>
    <w:p w14:paraId="7EAC2D1D" w14:textId="174A0E7F" w:rsidR="00E24DF6" w:rsidRPr="00E564A2" w:rsidRDefault="00000000" w:rsidP="00E564A2">
      <w:pPr>
        <w:pStyle w:val="Heading2"/>
        <w:rPr>
          <w:color w:val="F25E16"/>
        </w:rPr>
      </w:pPr>
      <w:r w:rsidRPr="00C64F27">
        <w:rPr>
          <w:color w:val="F25E16"/>
        </w:rPr>
        <w:t>Key Highlights – Second Day B2B vs. Full Season</w:t>
      </w:r>
    </w:p>
    <w:tbl>
      <w:tblPr>
        <w:tblStyle w:val="GridTable4-Accent4"/>
        <w:tblW w:w="8928" w:type="dxa"/>
        <w:tblLook w:val="04A0" w:firstRow="1" w:lastRow="0" w:firstColumn="1" w:lastColumn="0" w:noHBand="0" w:noVBand="1"/>
      </w:tblPr>
      <w:tblGrid>
        <w:gridCol w:w="1813"/>
        <w:gridCol w:w="1807"/>
        <w:gridCol w:w="1438"/>
        <w:gridCol w:w="1710"/>
        <w:gridCol w:w="2160"/>
      </w:tblGrid>
      <w:tr w:rsidR="00E67FA9" w14:paraId="747476AE" w14:textId="6CF357EF" w:rsidTr="00F94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3983642" w14:textId="77777777" w:rsidR="00E67FA9" w:rsidRDefault="00E67FA9">
            <w:r>
              <w:t>Metric</w:t>
            </w:r>
          </w:p>
        </w:tc>
        <w:tc>
          <w:tcPr>
            <w:tcW w:w="1807" w:type="dxa"/>
          </w:tcPr>
          <w:p w14:paraId="71664D0D" w14:textId="77777777" w:rsidR="00E67FA9" w:rsidRDefault="00E67FA9">
            <w:pPr>
              <w:cnfStyle w:val="100000000000" w:firstRow="1" w:lastRow="0" w:firstColumn="0" w:lastColumn="0" w:oddVBand="0" w:evenVBand="0" w:oddHBand="0" w:evenHBand="0" w:firstRowFirstColumn="0" w:firstRowLastColumn="0" w:lastRowFirstColumn="0" w:lastRowLastColumn="0"/>
            </w:pPr>
            <w:r>
              <w:t>Full Season</w:t>
            </w:r>
          </w:p>
        </w:tc>
        <w:tc>
          <w:tcPr>
            <w:tcW w:w="1438" w:type="dxa"/>
          </w:tcPr>
          <w:p w14:paraId="7CA6EC12" w14:textId="77777777" w:rsidR="00E67FA9" w:rsidRDefault="00E67FA9">
            <w:pPr>
              <w:cnfStyle w:val="100000000000" w:firstRow="1" w:lastRow="0" w:firstColumn="0" w:lastColumn="0" w:oddVBand="0" w:evenVBand="0" w:oddHBand="0" w:evenHBand="0" w:firstRowFirstColumn="0" w:firstRowLastColumn="0" w:lastRowFirstColumn="0" w:lastRowLastColumn="0"/>
            </w:pPr>
            <w:r>
              <w:t>Second Day B2B</w:t>
            </w:r>
          </w:p>
        </w:tc>
        <w:tc>
          <w:tcPr>
            <w:tcW w:w="1710" w:type="dxa"/>
          </w:tcPr>
          <w:p w14:paraId="2ABB7496" w14:textId="7002EB3F" w:rsidR="00E67FA9" w:rsidRDefault="00E67FA9">
            <w:pPr>
              <w:cnfStyle w:val="100000000000" w:firstRow="1" w:lastRow="0" w:firstColumn="0" w:lastColumn="0" w:oddVBand="0" w:evenVBand="0" w:oddHBand="0" w:evenHBand="0" w:firstRowFirstColumn="0" w:firstRowLastColumn="0" w:lastRowFirstColumn="0" w:lastRowLastColumn="0"/>
            </w:pPr>
            <w:r>
              <w:t>Margin Change</w:t>
            </w:r>
          </w:p>
        </w:tc>
        <w:tc>
          <w:tcPr>
            <w:tcW w:w="2160" w:type="dxa"/>
          </w:tcPr>
          <w:p w14:paraId="4E815ED7" w14:textId="3CC356AF" w:rsidR="00E67FA9" w:rsidRDefault="00E67FA9">
            <w:pPr>
              <w:cnfStyle w:val="100000000000" w:firstRow="1" w:lastRow="0" w:firstColumn="0" w:lastColumn="0" w:oddVBand="0" w:evenVBand="0" w:oddHBand="0" w:evenHBand="0" w:firstRowFirstColumn="0" w:firstRowLastColumn="0" w:lastRowFirstColumn="0" w:lastRowLastColumn="0"/>
            </w:pPr>
            <w:r>
              <w:t>% Margin Change</w:t>
            </w:r>
          </w:p>
        </w:tc>
      </w:tr>
      <w:tr w:rsidR="00E67FA9" w14:paraId="5B8A07D4" w14:textId="5420310D" w:rsidTr="00F94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2F9E966" w14:textId="77777777" w:rsidR="00E67FA9" w:rsidRDefault="00E67FA9">
            <w:r>
              <w:t>Win %</w:t>
            </w:r>
          </w:p>
        </w:tc>
        <w:tc>
          <w:tcPr>
            <w:tcW w:w="1807" w:type="dxa"/>
          </w:tcPr>
          <w:p w14:paraId="387BAF05" w14:textId="5B278896" w:rsidR="00E67FA9" w:rsidRDefault="00E67FA9">
            <w:pPr>
              <w:cnfStyle w:val="000000100000" w:firstRow="0" w:lastRow="0" w:firstColumn="0" w:lastColumn="0" w:oddVBand="0" w:evenVBand="0" w:oddHBand="1" w:evenHBand="0" w:firstRowFirstColumn="0" w:firstRowLastColumn="0" w:lastRowFirstColumn="0" w:lastRowLastColumn="0"/>
            </w:pPr>
            <w:r>
              <w:t>66.7</w:t>
            </w:r>
          </w:p>
        </w:tc>
        <w:tc>
          <w:tcPr>
            <w:tcW w:w="1438" w:type="dxa"/>
          </w:tcPr>
          <w:p w14:paraId="7BF618CC" w14:textId="16AFD3DD" w:rsidR="00E67FA9" w:rsidRDefault="00E67FA9">
            <w:pPr>
              <w:cnfStyle w:val="000000100000" w:firstRow="0" w:lastRow="0" w:firstColumn="0" w:lastColumn="0" w:oddVBand="0" w:evenVBand="0" w:oddHBand="1" w:evenHBand="0" w:firstRowFirstColumn="0" w:firstRowLastColumn="0" w:lastRowFirstColumn="0" w:lastRowLastColumn="0"/>
            </w:pPr>
            <w:r>
              <w:t>75.0</w:t>
            </w:r>
          </w:p>
        </w:tc>
        <w:tc>
          <w:tcPr>
            <w:tcW w:w="1710" w:type="dxa"/>
          </w:tcPr>
          <w:p w14:paraId="2B223CFA" w14:textId="7F903AAA" w:rsidR="00E67FA9" w:rsidRDefault="00E67FA9">
            <w:pPr>
              <w:cnfStyle w:val="000000100000" w:firstRow="0" w:lastRow="0" w:firstColumn="0" w:lastColumn="0" w:oddVBand="0" w:evenVBand="0" w:oddHBand="1" w:evenHBand="0" w:firstRowFirstColumn="0" w:firstRowLastColumn="0" w:lastRowFirstColumn="0" w:lastRowLastColumn="0"/>
            </w:pPr>
            <w:r>
              <w:t>8.3</w:t>
            </w:r>
          </w:p>
        </w:tc>
        <w:tc>
          <w:tcPr>
            <w:tcW w:w="2160" w:type="dxa"/>
          </w:tcPr>
          <w:p w14:paraId="72069C7B" w14:textId="75E6A090" w:rsidR="00E67FA9" w:rsidRDefault="00E67FA9">
            <w:pPr>
              <w:cnfStyle w:val="000000100000" w:firstRow="0" w:lastRow="0" w:firstColumn="0" w:lastColumn="0" w:oddVBand="0" w:evenVBand="0" w:oddHBand="1" w:evenHBand="0" w:firstRowFirstColumn="0" w:firstRowLastColumn="0" w:lastRowFirstColumn="0" w:lastRowLastColumn="0"/>
            </w:pPr>
            <w:r>
              <w:t>12.5%</w:t>
            </w:r>
          </w:p>
        </w:tc>
      </w:tr>
      <w:tr w:rsidR="00E67FA9" w14:paraId="24C9FA2C" w14:textId="02AE15F2" w:rsidTr="00F94A78">
        <w:tc>
          <w:tcPr>
            <w:cnfStyle w:val="001000000000" w:firstRow="0" w:lastRow="0" w:firstColumn="1" w:lastColumn="0" w:oddVBand="0" w:evenVBand="0" w:oddHBand="0" w:evenHBand="0" w:firstRowFirstColumn="0" w:firstRowLastColumn="0" w:lastRowFirstColumn="0" w:lastRowLastColumn="0"/>
            <w:tcW w:w="1813" w:type="dxa"/>
          </w:tcPr>
          <w:p w14:paraId="1A228CD0" w14:textId="35B5B91F" w:rsidR="00E67FA9" w:rsidRDefault="00E67FA9" w:rsidP="00A774B0">
            <w:r>
              <w:t>FTM</w:t>
            </w:r>
          </w:p>
        </w:tc>
        <w:tc>
          <w:tcPr>
            <w:tcW w:w="1807" w:type="dxa"/>
          </w:tcPr>
          <w:p w14:paraId="3A80BDBC" w14:textId="56434A0E" w:rsidR="00E67FA9" w:rsidRDefault="00E67FA9" w:rsidP="00A774B0">
            <w:pPr>
              <w:cnfStyle w:val="000000000000" w:firstRow="0" w:lastRow="0" w:firstColumn="0" w:lastColumn="0" w:oddVBand="0" w:evenVBand="0" w:oddHBand="0" w:evenHBand="0" w:firstRowFirstColumn="0" w:firstRowLastColumn="0" w:lastRowFirstColumn="0" w:lastRowLastColumn="0"/>
            </w:pPr>
            <w:r>
              <w:t>12.87</w:t>
            </w:r>
          </w:p>
        </w:tc>
        <w:tc>
          <w:tcPr>
            <w:tcW w:w="1438" w:type="dxa"/>
          </w:tcPr>
          <w:p w14:paraId="77FBBBA5" w14:textId="7907391A" w:rsidR="00E67FA9" w:rsidRDefault="00E67FA9" w:rsidP="00A774B0">
            <w:pPr>
              <w:cnfStyle w:val="000000000000" w:firstRow="0" w:lastRow="0" w:firstColumn="0" w:lastColumn="0" w:oddVBand="0" w:evenVBand="0" w:oddHBand="0" w:evenHBand="0" w:firstRowFirstColumn="0" w:firstRowLastColumn="0" w:lastRowFirstColumn="0" w:lastRowLastColumn="0"/>
            </w:pPr>
            <w:r>
              <w:t>13.95</w:t>
            </w:r>
          </w:p>
        </w:tc>
        <w:tc>
          <w:tcPr>
            <w:tcW w:w="1710" w:type="dxa"/>
          </w:tcPr>
          <w:p w14:paraId="0F5AADCB" w14:textId="0E95709B" w:rsidR="00E67FA9" w:rsidRDefault="00E67FA9" w:rsidP="00A774B0">
            <w:pPr>
              <w:cnfStyle w:val="000000000000" w:firstRow="0" w:lastRow="0" w:firstColumn="0" w:lastColumn="0" w:oddVBand="0" w:evenVBand="0" w:oddHBand="0" w:evenHBand="0" w:firstRowFirstColumn="0" w:firstRowLastColumn="0" w:lastRowFirstColumn="0" w:lastRowLastColumn="0"/>
            </w:pPr>
            <w:r>
              <w:t>1.08</w:t>
            </w:r>
          </w:p>
        </w:tc>
        <w:tc>
          <w:tcPr>
            <w:tcW w:w="2160" w:type="dxa"/>
          </w:tcPr>
          <w:p w14:paraId="6B8C90BF" w14:textId="2BAAA9BA" w:rsidR="00E67FA9" w:rsidRDefault="00E67FA9" w:rsidP="00A774B0">
            <w:pPr>
              <w:cnfStyle w:val="000000000000" w:firstRow="0" w:lastRow="0" w:firstColumn="0" w:lastColumn="0" w:oddVBand="0" w:evenVBand="0" w:oddHBand="0" w:evenHBand="0" w:firstRowFirstColumn="0" w:firstRowLastColumn="0" w:lastRowFirstColumn="0" w:lastRowLastColumn="0"/>
            </w:pPr>
            <w:r>
              <w:t>8.4%</w:t>
            </w:r>
          </w:p>
        </w:tc>
      </w:tr>
      <w:tr w:rsidR="00E67FA9" w14:paraId="4E15F18C" w14:textId="0A99D332" w:rsidTr="00F94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595B3505" w14:textId="15460B69" w:rsidR="00E67FA9" w:rsidRDefault="00E67FA9">
            <w:r>
              <w:t>FTA</w:t>
            </w:r>
          </w:p>
        </w:tc>
        <w:tc>
          <w:tcPr>
            <w:tcW w:w="1807" w:type="dxa"/>
          </w:tcPr>
          <w:p w14:paraId="1B0DD4F7" w14:textId="5ECDC89A" w:rsidR="00E67FA9" w:rsidRDefault="00E67FA9">
            <w:pPr>
              <w:cnfStyle w:val="000000100000" w:firstRow="0" w:lastRow="0" w:firstColumn="0" w:lastColumn="0" w:oddVBand="0" w:evenVBand="0" w:oddHBand="1" w:evenHBand="0" w:firstRowFirstColumn="0" w:firstRowLastColumn="0" w:lastRowFirstColumn="0" w:lastRowLastColumn="0"/>
            </w:pPr>
            <w:r>
              <w:t>18.87</w:t>
            </w:r>
          </w:p>
        </w:tc>
        <w:tc>
          <w:tcPr>
            <w:tcW w:w="1438" w:type="dxa"/>
          </w:tcPr>
          <w:p w14:paraId="7CAFBA87" w14:textId="4AB82423" w:rsidR="00E67FA9" w:rsidRDefault="00E67FA9">
            <w:pPr>
              <w:cnfStyle w:val="000000100000" w:firstRow="0" w:lastRow="0" w:firstColumn="0" w:lastColumn="0" w:oddVBand="0" w:evenVBand="0" w:oddHBand="1" w:evenHBand="0" w:firstRowFirstColumn="0" w:firstRowLastColumn="0" w:lastRowFirstColumn="0" w:lastRowLastColumn="0"/>
            </w:pPr>
            <w:r>
              <w:t>19.98</w:t>
            </w:r>
          </w:p>
        </w:tc>
        <w:tc>
          <w:tcPr>
            <w:tcW w:w="1710" w:type="dxa"/>
          </w:tcPr>
          <w:p w14:paraId="7C93D316" w14:textId="57DC86D9" w:rsidR="00E67FA9" w:rsidRDefault="00E67FA9">
            <w:pPr>
              <w:cnfStyle w:val="000000100000" w:firstRow="0" w:lastRow="0" w:firstColumn="0" w:lastColumn="0" w:oddVBand="0" w:evenVBand="0" w:oddHBand="1" w:evenHBand="0" w:firstRowFirstColumn="0" w:firstRowLastColumn="0" w:lastRowFirstColumn="0" w:lastRowLastColumn="0"/>
            </w:pPr>
            <w:r>
              <w:t>1.11</w:t>
            </w:r>
          </w:p>
        </w:tc>
        <w:tc>
          <w:tcPr>
            <w:tcW w:w="2160" w:type="dxa"/>
          </w:tcPr>
          <w:p w14:paraId="4A47ED78" w14:textId="4D3E1053" w:rsidR="00E67FA9" w:rsidRDefault="00E67FA9">
            <w:pPr>
              <w:cnfStyle w:val="000000100000" w:firstRow="0" w:lastRow="0" w:firstColumn="0" w:lastColumn="0" w:oddVBand="0" w:evenVBand="0" w:oddHBand="1" w:evenHBand="0" w:firstRowFirstColumn="0" w:firstRowLastColumn="0" w:lastRowFirstColumn="0" w:lastRowLastColumn="0"/>
            </w:pPr>
            <w:r>
              <w:t>5.9%</w:t>
            </w:r>
          </w:p>
        </w:tc>
      </w:tr>
      <w:tr w:rsidR="00E67FA9" w14:paraId="130FC77F" w14:textId="77777777" w:rsidTr="00F94A78">
        <w:tc>
          <w:tcPr>
            <w:cnfStyle w:val="001000000000" w:firstRow="0" w:lastRow="0" w:firstColumn="1" w:lastColumn="0" w:oddVBand="0" w:evenVBand="0" w:oddHBand="0" w:evenHBand="0" w:firstRowFirstColumn="0" w:firstRowLastColumn="0" w:lastRowFirstColumn="0" w:lastRowLastColumn="0"/>
            <w:tcW w:w="1813" w:type="dxa"/>
          </w:tcPr>
          <w:p w14:paraId="5A67D82A" w14:textId="7B327EA8" w:rsidR="00E67FA9" w:rsidRDefault="00E67FA9">
            <w:r>
              <w:t>3pt FG%</w:t>
            </w:r>
          </w:p>
        </w:tc>
        <w:tc>
          <w:tcPr>
            <w:tcW w:w="1807" w:type="dxa"/>
          </w:tcPr>
          <w:p w14:paraId="5CDC984D" w14:textId="3BA2BC87" w:rsidR="00E67FA9" w:rsidRDefault="00E67FA9">
            <w:pPr>
              <w:cnfStyle w:val="000000000000" w:firstRow="0" w:lastRow="0" w:firstColumn="0" w:lastColumn="0" w:oddVBand="0" w:evenVBand="0" w:oddHBand="0" w:evenHBand="0" w:firstRowFirstColumn="0" w:firstRowLastColumn="0" w:lastRowFirstColumn="0" w:lastRowLastColumn="0"/>
            </w:pPr>
            <w:r>
              <w:t>32.6</w:t>
            </w:r>
          </w:p>
        </w:tc>
        <w:tc>
          <w:tcPr>
            <w:tcW w:w="1438" w:type="dxa"/>
          </w:tcPr>
          <w:p w14:paraId="15CBA209" w14:textId="06E288B2" w:rsidR="00E67FA9" w:rsidRDefault="00E67FA9">
            <w:pPr>
              <w:cnfStyle w:val="000000000000" w:firstRow="0" w:lastRow="0" w:firstColumn="0" w:lastColumn="0" w:oddVBand="0" w:evenVBand="0" w:oddHBand="0" w:evenHBand="0" w:firstRowFirstColumn="0" w:firstRowLastColumn="0" w:lastRowFirstColumn="0" w:lastRowLastColumn="0"/>
            </w:pPr>
            <w:r>
              <w:t>34.4</w:t>
            </w:r>
          </w:p>
        </w:tc>
        <w:tc>
          <w:tcPr>
            <w:tcW w:w="1710" w:type="dxa"/>
          </w:tcPr>
          <w:p w14:paraId="4013E180" w14:textId="6D2752CB" w:rsidR="00E67FA9" w:rsidRDefault="00E67FA9">
            <w:pPr>
              <w:cnfStyle w:val="000000000000" w:firstRow="0" w:lastRow="0" w:firstColumn="0" w:lastColumn="0" w:oddVBand="0" w:evenVBand="0" w:oddHBand="0" w:evenHBand="0" w:firstRowFirstColumn="0" w:firstRowLastColumn="0" w:lastRowFirstColumn="0" w:lastRowLastColumn="0"/>
            </w:pPr>
            <w:r>
              <w:t>1.8</w:t>
            </w:r>
          </w:p>
        </w:tc>
        <w:tc>
          <w:tcPr>
            <w:tcW w:w="2160" w:type="dxa"/>
          </w:tcPr>
          <w:p w14:paraId="55BEC81C" w14:textId="61050C21" w:rsidR="00E67FA9" w:rsidRDefault="00E67FA9">
            <w:pPr>
              <w:cnfStyle w:val="000000000000" w:firstRow="0" w:lastRow="0" w:firstColumn="0" w:lastColumn="0" w:oddVBand="0" w:evenVBand="0" w:oddHBand="0" w:evenHBand="0" w:firstRowFirstColumn="0" w:firstRowLastColumn="0" w:lastRowFirstColumn="0" w:lastRowLastColumn="0"/>
            </w:pPr>
            <w:r>
              <w:t>5.5%</w:t>
            </w:r>
          </w:p>
        </w:tc>
      </w:tr>
      <w:tr w:rsidR="00E67FA9" w14:paraId="537CD4C2" w14:textId="77777777" w:rsidTr="00F94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61478E75" w14:textId="3A91677D" w:rsidR="00E67FA9" w:rsidRDefault="00E67FA9" w:rsidP="00E67FA9">
            <w:r>
              <w:t>Second Chance Pts</w:t>
            </w:r>
          </w:p>
        </w:tc>
        <w:tc>
          <w:tcPr>
            <w:tcW w:w="1807" w:type="dxa"/>
          </w:tcPr>
          <w:p w14:paraId="113106CF" w14:textId="4D334030" w:rsidR="00E67FA9" w:rsidRDefault="00E67FA9" w:rsidP="00E67FA9">
            <w:pPr>
              <w:cnfStyle w:val="000000100000" w:firstRow="0" w:lastRow="0" w:firstColumn="0" w:lastColumn="0" w:oddVBand="0" w:evenVBand="0" w:oddHBand="1" w:evenHBand="0" w:firstRowFirstColumn="0" w:firstRowLastColumn="0" w:lastRowFirstColumn="0" w:lastRowLastColumn="0"/>
            </w:pPr>
            <w:r>
              <w:t>11.47</w:t>
            </w:r>
          </w:p>
        </w:tc>
        <w:tc>
          <w:tcPr>
            <w:tcW w:w="1438" w:type="dxa"/>
          </w:tcPr>
          <w:p w14:paraId="20DEE0AF" w14:textId="431BC135" w:rsidR="00E67FA9" w:rsidRDefault="00E67FA9" w:rsidP="00E67FA9">
            <w:pPr>
              <w:cnfStyle w:val="000000100000" w:firstRow="0" w:lastRow="0" w:firstColumn="0" w:lastColumn="0" w:oddVBand="0" w:evenVBand="0" w:oddHBand="1" w:evenHBand="0" w:firstRowFirstColumn="0" w:firstRowLastColumn="0" w:lastRowFirstColumn="0" w:lastRowLastColumn="0"/>
            </w:pPr>
            <w:r>
              <w:t>11.93</w:t>
            </w:r>
          </w:p>
        </w:tc>
        <w:tc>
          <w:tcPr>
            <w:tcW w:w="1710" w:type="dxa"/>
          </w:tcPr>
          <w:p w14:paraId="215E56DE" w14:textId="1ACFE985" w:rsidR="00E67FA9" w:rsidRDefault="00E67FA9" w:rsidP="00E67FA9">
            <w:pPr>
              <w:cnfStyle w:val="000000100000" w:firstRow="0" w:lastRow="0" w:firstColumn="0" w:lastColumn="0" w:oddVBand="0" w:evenVBand="0" w:oddHBand="1" w:evenHBand="0" w:firstRowFirstColumn="0" w:firstRowLastColumn="0" w:lastRowFirstColumn="0" w:lastRowLastColumn="0"/>
            </w:pPr>
            <w:r>
              <w:t>0.46</w:t>
            </w:r>
          </w:p>
        </w:tc>
        <w:tc>
          <w:tcPr>
            <w:tcW w:w="2160" w:type="dxa"/>
          </w:tcPr>
          <w:p w14:paraId="3B374C74" w14:textId="19AF2EE0" w:rsidR="00E67FA9" w:rsidRDefault="00E67FA9" w:rsidP="00E67FA9">
            <w:pPr>
              <w:cnfStyle w:val="000000100000" w:firstRow="0" w:lastRow="0" w:firstColumn="0" w:lastColumn="0" w:oddVBand="0" w:evenVBand="0" w:oddHBand="1" w:evenHBand="0" w:firstRowFirstColumn="0" w:firstRowLastColumn="0" w:lastRowFirstColumn="0" w:lastRowLastColumn="0"/>
            </w:pPr>
            <w:r>
              <w:t>4.0%</w:t>
            </w:r>
          </w:p>
        </w:tc>
      </w:tr>
      <w:tr w:rsidR="00E67FA9" w14:paraId="229EA6B0" w14:textId="3EDFAF2C" w:rsidTr="00F94A78">
        <w:tc>
          <w:tcPr>
            <w:cnfStyle w:val="001000000000" w:firstRow="0" w:lastRow="0" w:firstColumn="1" w:lastColumn="0" w:oddVBand="0" w:evenVBand="0" w:oddHBand="0" w:evenHBand="0" w:firstRowFirstColumn="0" w:firstRowLastColumn="0" w:lastRowFirstColumn="0" w:lastRowLastColumn="0"/>
            <w:tcW w:w="1813" w:type="dxa"/>
          </w:tcPr>
          <w:p w14:paraId="072827A4" w14:textId="77777777" w:rsidR="00E67FA9" w:rsidRDefault="00E67FA9" w:rsidP="00E67FA9">
            <w:r>
              <w:t>Bench Points</w:t>
            </w:r>
          </w:p>
        </w:tc>
        <w:tc>
          <w:tcPr>
            <w:tcW w:w="1807" w:type="dxa"/>
          </w:tcPr>
          <w:p w14:paraId="2A85725B" w14:textId="7233671B" w:rsidR="00E67FA9" w:rsidRDefault="00E67FA9" w:rsidP="00E67FA9">
            <w:pPr>
              <w:cnfStyle w:val="000000000000" w:firstRow="0" w:lastRow="0" w:firstColumn="0" w:lastColumn="0" w:oddVBand="0" w:evenVBand="0" w:oddHBand="0" w:evenHBand="0" w:firstRowFirstColumn="0" w:firstRowLastColumn="0" w:lastRowFirstColumn="0" w:lastRowLastColumn="0"/>
            </w:pPr>
            <w:r>
              <w:t>21.43</w:t>
            </w:r>
          </w:p>
        </w:tc>
        <w:tc>
          <w:tcPr>
            <w:tcW w:w="1438" w:type="dxa"/>
          </w:tcPr>
          <w:p w14:paraId="5C80D43D" w14:textId="38DAA312" w:rsidR="00E67FA9" w:rsidRDefault="00E67FA9" w:rsidP="00E67FA9">
            <w:pPr>
              <w:cnfStyle w:val="000000000000" w:firstRow="0" w:lastRow="0" w:firstColumn="0" w:lastColumn="0" w:oddVBand="0" w:evenVBand="0" w:oddHBand="0" w:evenHBand="0" w:firstRowFirstColumn="0" w:firstRowLastColumn="0" w:lastRowFirstColumn="0" w:lastRowLastColumn="0"/>
            </w:pPr>
            <w:r>
              <w:t>22.09</w:t>
            </w:r>
          </w:p>
        </w:tc>
        <w:tc>
          <w:tcPr>
            <w:tcW w:w="1710" w:type="dxa"/>
          </w:tcPr>
          <w:p w14:paraId="555B176D" w14:textId="3B2579D6" w:rsidR="00E67FA9" w:rsidRDefault="00E67FA9" w:rsidP="00E67FA9">
            <w:pPr>
              <w:cnfStyle w:val="000000000000" w:firstRow="0" w:lastRow="0" w:firstColumn="0" w:lastColumn="0" w:oddVBand="0" w:evenVBand="0" w:oddHBand="0" w:evenHBand="0" w:firstRowFirstColumn="0" w:firstRowLastColumn="0" w:lastRowFirstColumn="0" w:lastRowLastColumn="0"/>
            </w:pPr>
            <w:r>
              <w:t>0.66</w:t>
            </w:r>
          </w:p>
        </w:tc>
        <w:tc>
          <w:tcPr>
            <w:tcW w:w="2160" w:type="dxa"/>
          </w:tcPr>
          <w:p w14:paraId="2650092C" w14:textId="70A5F587" w:rsidR="00E67FA9" w:rsidRDefault="00E67FA9" w:rsidP="00E67FA9">
            <w:pPr>
              <w:cnfStyle w:val="000000000000" w:firstRow="0" w:lastRow="0" w:firstColumn="0" w:lastColumn="0" w:oddVBand="0" w:evenVBand="0" w:oddHBand="0" w:evenHBand="0" w:firstRowFirstColumn="0" w:firstRowLastColumn="0" w:lastRowFirstColumn="0" w:lastRowLastColumn="0"/>
            </w:pPr>
            <w:r>
              <w:t>3.1%</w:t>
            </w:r>
          </w:p>
        </w:tc>
      </w:tr>
      <w:tr w:rsidR="007F2258" w14:paraId="78EA0BBA" w14:textId="77777777" w:rsidTr="00F94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77F285DB" w14:textId="6BE783C9" w:rsidR="007F2258" w:rsidRDefault="007F2258" w:rsidP="00E67FA9">
            <w:r>
              <w:t>Turnovers</w:t>
            </w:r>
          </w:p>
        </w:tc>
        <w:tc>
          <w:tcPr>
            <w:tcW w:w="1807" w:type="dxa"/>
          </w:tcPr>
          <w:p w14:paraId="2E0613B4" w14:textId="3927F61C" w:rsidR="007F2258" w:rsidRDefault="007F2258" w:rsidP="00E67FA9">
            <w:pPr>
              <w:cnfStyle w:val="000000100000" w:firstRow="0" w:lastRow="0" w:firstColumn="0" w:lastColumn="0" w:oddVBand="0" w:evenVBand="0" w:oddHBand="1" w:evenHBand="0" w:firstRowFirstColumn="0" w:firstRowLastColumn="0" w:lastRowFirstColumn="0" w:lastRowLastColumn="0"/>
            </w:pPr>
            <w:r>
              <w:t>13.7</w:t>
            </w:r>
          </w:p>
        </w:tc>
        <w:tc>
          <w:tcPr>
            <w:tcW w:w="1438" w:type="dxa"/>
          </w:tcPr>
          <w:p w14:paraId="3A2E9E82" w14:textId="03902855" w:rsidR="007F2258" w:rsidRDefault="007F2258" w:rsidP="00E67FA9">
            <w:pPr>
              <w:cnfStyle w:val="000000100000" w:firstRow="0" w:lastRow="0" w:firstColumn="0" w:lastColumn="0" w:oddVBand="0" w:evenVBand="0" w:oddHBand="1" w:evenHBand="0" w:firstRowFirstColumn="0" w:firstRowLastColumn="0" w:lastRowFirstColumn="0" w:lastRowLastColumn="0"/>
            </w:pPr>
            <w:r>
              <w:t>13.27</w:t>
            </w:r>
          </w:p>
        </w:tc>
        <w:tc>
          <w:tcPr>
            <w:tcW w:w="1710" w:type="dxa"/>
          </w:tcPr>
          <w:p w14:paraId="2983AAF5" w14:textId="633DE3C1" w:rsidR="007F2258" w:rsidRDefault="007F2258" w:rsidP="00E67FA9">
            <w:pPr>
              <w:cnfStyle w:val="000000100000" w:firstRow="0" w:lastRow="0" w:firstColumn="0" w:lastColumn="0" w:oddVBand="0" w:evenVBand="0" w:oddHBand="1" w:evenHBand="0" w:firstRowFirstColumn="0" w:firstRowLastColumn="0" w:lastRowFirstColumn="0" w:lastRowLastColumn="0"/>
            </w:pPr>
            <w:r>
              <w:t>0.43</w:t>
            </w:r>
          </w:p>
        </w:tc>
        <w:tc>
          <w:tcPr>
            <w:tcW w:w="2160" w:type="dxa"/>
          </w:tcPr>
          <w:p w14:paraId="3B4248A7" w14:textId="1153B1FE" w:rsidR="007F2258" w:rsidRDefault="007F2258" w:rsidP="00E67FA9">
            <w:pPr>
              <w:cnfStyle w:val="000000100000" w:firstRow="0" w:lastRow="0" w:firstColumn="0" w:lastColumn="0" w:oddVBand="0" w:evenVBand="0" w:oddHBand="1" w:evenHBand="0" w:firstRowFirstColumn="0" w:firstRowLastColumn="0" w:lastRowFirstColumn="0" w:lastRowLastColumn="0"/>
            </w:pPr>
            <w:r>
              <w:t>3.1%</w:t>
            </w:r>
          </w:p>
        </w:tc>
      </w:tr>
      <w:tr w:rsidR="00E67FA9" w14:paraId="7E87C64A" w14:textId="677C9CD2" w:rsidTr="00F94A78">
        <w:tc>
          <w:tcPr>
            <w:cnfStyle w:val="001000000000" w:firstRow="0" w:lastRow="0" w:firstColumn="1" w:lastColumn="0" w:oddVBand="0" w:evenVBand="0" w:oddHBand="0" w:evenHBand="0" w:firstRowFirstColumn="0" w:firstRowLastColumn="0" w:lastRowFirstColumn="0" w:lastRowLastColumn="0"/>
            <w:tcW w:w="1813" w:type="dxa"/>
          </w:tcPr>
          <w:p w14:paraId="3B6D6B9B" w14:textId="54590AAB" w:rsidR="00E67FA9" w:rsidRDefault="00E67FA9" w:rsidP="00E67FA9">
            <w:r>
              <w:t>FT %</w:t>
            </w:r>
          </w:p>
        </w:tc>
        <w:tc>
          <w:tcPr>
            <w:tcW w:w="1807" w:type="dxa"/>
          </w:tcPr>
          <w:p w14:paraId="6FC5DF97" w14:textId="1E63529D" w:rsidR="00E67FA9" w:rsidRDefault="00E67FA9" w:rsidP="00E67FA9">
            <w:pPr>
              <w:cnfStyle w:val="000000000000" w:firstRow="0" w:lastRow="0" w:firstColumn="0" w:lastColumn="0" w:oddVBand="0" w:evenVBand="0" w:oddHBand="0" w:evenHBand="0" w:firstRowFirstColumn="0" w:firstRowLastColumn="0" w:lastRowFirstColumn="0" w:lastRowLastColumn="0"/>
            </w:pPr>
            <w:r>
              <w:t>68.2</w:t>
            </w:r>
          </w:p>
        </w:tc>
        <w:tc>
          <w:tcPr>
            <w:tcW w:w="1438" w:type="dxa"/>
          </w:tcPr>
          <w:p w14:paraId="151F8C3C" w14:textId="2426A3ED" w:rsidR="00E67FA9" w:rsidRDefault="00E67FA9" w:rsidP="00E67FA9">
            <w:pPr>
              <w:cnfStyle w:val="000000000000" w:firstRow="0" w:lastRow="0" w:firstColumn="0" w:lastColumn="0" w:oddVBand="0" w:evenVBand="0" w:oddHBand="0" w:evenHBand="0" w:firstRowFirstColumn="0" w:firstRowLastColumn="0" w:lastRowFirstColumn="0" w:lastRowLastColumn="0"/>
            </w:pPr>
            <w:r>
              <w:t>69.9</w:t>
            </w:r>
          </w:p>
        </w:tc>
        <w:tc>
          <w:tcPr>
            <w:tcW w:w="1710" w:type="dxa"/>
          </w:tcPr>
          <w:p w14:paraId="76538E52" w14:textId="50CF1DC3" w:rsidR="00E67FA9" w:rsidRDefault="00E67FA9" w:rsidP="00E67FA9">
            <w:pPr>
              <w:cnfStyle w:val="000000000000" w:firstRow="0" w:lastRow="0" w:firstColumn="0" w:lastColumn="0" w:oddVBand="0" w:evenVBand="0" w:oddHBand="0" w:evenHBand="0" w:firstRowFirstColumn="0" w:firstRowLastColumn="0" w:lastRowFirstColumn="0" w:lastRowLastColumn="0"/>
            </w:pPr>
            <w:r>
              <w:t>1.7</w:t>
            </w:r>
          </w:p>
        </w:tc>
        <w:tc>
          <w:tcPr>
            <w:tcW w:w="2160" w:type="dxa"/>
          </w:tcPr>
          <w:p w14:paraId="32991B34" w14:textId="4542CB89" w:rsidR="00E67FA9" w:rsidRDefault="00E67FA9" w:rsidP="00E67FA9">
            <w:pPr>
              <w:cnfStyle w:val="000000000000" w:firstRow="0" w:lastRow="0" w:firstColumn="0" w:lastColumn="0" w:oddVBand="0" w:evenVBand="0" w:oddHBand="0" w:evenHBand="0" w:firstRowFirstColumn="0" w:firstRowLastColumn="0" w:lastRowFirstColumn="0" w:lastRowLastColumn="0"/>
            </w:pPr>
            <w:r>
              <w:t>2.5%</w:t>
            </w:r>
          </w:p>
        </w:tc>
      </w:tr>
    </w:tbl>
    <w:p w14:paraId="4FDB9738" w14:textId="77777777" w:rsidR="004A6FC2" w:rsidRPr="002815CD" w:rsidRDefault="004A6FC2" w:rsidP="004A6FC2">
      <w:pPr>
        <w:spacing w:before="100" w:beforeAutospacing="1" w:after="100" w:afterAutospacing="1" w:line="240" w:lineRule="auto"/>
        <w:rPr>
          <w:rFonts w:eastAsia="Times New Roman" w:cs="Times New Roman"/>
          <w:sz w:val="24"/>
          <w:szCs w:val="24"/>
        </w:rPr>
      </w:pPr>
      <w:r w:rsidRPr="002815CD">
        <w:rPr>
          <w:rFonts w:eastAsia="Times New Roman" w:cs="Times New Roman"/>
          <w:sz w:val="24"/>
          <w:szCs w:val="24"/>
        </w:rPr>
        <w:t xml:space="preserve">Several notable improvements occurred in second-day back-to-back games, most notably in </w:t>
      </w:r>
      <w:r w:rsidRPr="002815CD">
        <w:rPr>
          <w:rFonts w:eastAsia="Times New Roman" w:cs="Times New Roman"/>
          <w:b/>
          <w:bCs/>
          <w:sz w:val="24"/>
          <w:szCs w:val="24"/>
        </w:rPr>
        <w:t>win percentage</w:t>
      </w:r>
      <w:r w:rsidRPr="002815CD">
        <w:rPr>
          <w:rFonts w:eastAsia="Times New Roman" w:cs="Times New Roman"/>
          <w:sz w:val="24"/>
          <w:szCs w:val="24"/>
        </w:rPr>
        <w:t xml:space="preserve">, which increased from 66.7% to 75.0% — a </w:t>
      </w:r>
      <w:r w:rsidRPr="002815CD">
        <w:rPr>
          <w:rFonts w:eastAsia="Times New Roman" w:cs="Times New Roman"/>
          <w:b/>
          <w:bCs/>
          <w:sz w:val="24"/>
          <w:szCs w:val="24"/>
        </w:rPr>
        <w:t>12.5% gain</w:t>
      </w:r>
      <w:r w:rsidRPr="002815CD">
        <w:rPr>
          <w:rFonts w:eastAsia="Times New Roman" w:cs="Times New Roman"/>
          <w:sz w:val="24"/>
          <w:szCs w:val="24"/>
        </w:rPr>
        <w:t>. That’s particularly impressive considering the physical and mental demands of B2B scenarios.</w:t>
      </w:r>
    </w:p>
    <w:p w14:paraId="36452E50" w14:textId="77777777" w:rsidR="004A6FC2" w:rsidRPr="002815CD" w:rsidRDefault="004A6FC2" w:rsidP="004A6FC2">
      <w:pPr>
        <w:spacing w:before="100" w:beforeAutospacing="1" w:after="100" w:afterAutospacing="1" w:line="240" w:lineRule="auto"/>
        <w:rPr>
          <w:rFonts w:eastAsia="Times New Roman" w:cs="Times New Roman"/>
          <w:sz w:val="24"/>
          <w:szCs w:val="24"/>
        </w:rPr>
      </w:pPr>
      <w:r w:rsidRPr="002815CD">
        <w:rPr>
          <w:rFonts w:eastAsia="Times New Roman" w:cs="Times New Roman"/>
          <w:sz w:val="24"/>
          <w:szCs w:val="24"/>
        </w:rPr>
        <w:t>Other significant improvements include:</w:t>
      </w:r>
    </w:p>
    <w:p w14:paraId="170E8D47" w14:textId="77777777" w:rsidR="004A6FC2" w:rsidRPr="002815CD" w:rsidRDefault="004A6FC2" w:rsidP="004A6FC2">
      <w:pPr>
        <w:numPr>
          <w:ilvl w:val="0"/>
          <w:numId w:val="10"/>
        </w:numPr>
        <w:spacing w:before="100" w:beforeAutospacing="1" w:after="100" w:afterAutospacing="1" w:line="240" w:lineRule="auto"/>
        <w:rPr>
          <w:rFonts w:eastAsia="Times New Roman" w:cs="Times New Roman"/>
          <w:sz w:val="24"/>
          <w:szCs w:val="24"/>
        </w:rPr>
      </w:pPr>
      <w:r w:rsidRPr="002815CD">
        <w:rPr>
          <w:rFonts w:eastAsia="Times New Roman" w:cs="Times New Roman"/>
          <w:b/>
          <w:bCs/>
          <w:sz w:val="24"/>
          <w:szCs w:val="24"/>
        </w:rPr>
        <w:t>Free Throws</w:t>
      </w:r>
      <w:r w:rsidRPr="002815CD">
        <w:rPr>
          <w:rFonts w:eastAsia="Times New Roman" w:cs="Times New Roman"/>
          <w:sz w:val="24"/>
          <w:szCs w:val="24"/>
        </w:rPr>
        <w:t>: FTA (+5.9%), FTM (+8.4%), and FT% (+2.5%), indicating sharper execution and composure under fatigue.</w:t>
      </w:r>
    </w:p>
    <w:p w14:paraId="244EAAF2" w14:textId="77777777" w:rsidR="004A6FC2" w:rsidRPr="002815CD" w:rsidRDefault="004A6FC2" w:rsidP="004A6FC2">
      <w:pPr>
        <w:numPr>
          <w:ilvl w:val="0"/>
          <w:numId w:val="10"/>
        </w:numPr>
        <w:spacing w:before="100" w:beforeAutospacing="1" w:after="100" w:afterAutospacing="1" w:line="240" w:lineRule="auto"/>
        <w:rPr>
          <w:rFonts w:eastAsia="Times New Roman" w:cs="Times New Roman"/>
          <w:sz w:val="24"/>
          <w:szCs w:val="24"/>
        </w:rPr>
      </w:pPr>
      <w:r w:rsidRPr="002815CD">
        <w:rPr>
          <w:rFonts w:eastAsia="Times New Roman" w:cs="Times New Roman"/>
          <w:b/>
          <w:bCs/>
          <w:sz w:val="24"/>
          <w:szCs w:val="24"/>
        </w:rPr>
        <w:t>3PT FG%</w:t>
      </w:r>
      <w:r w:rsidRPr="002815CD">
        <w:rPr>
          <w:rFonts w:eastAsia="Times New Roman" w:cs="Times New Roman"/>
          <w:sz w:val="24"/>
          <w:szCs w:val="24"/>
        </w:rPr>
        <w:t xml:space="preserve"> improved by 5.5%, showing better shot selection or rhythm from deep.</w:t>
      </w:r>
    </w:p>
    <w:p w14:paraId="7900CAB2" w14:textId="77777777" w:rsidR="004A6FC2" w:rsidRPr="002815CD" w:rsidRDefault="004A6FC2" w:rsidP="004A6FC2">
      <w:pPr>
        <w:numPr>
          <w:ilvl w:val="0"/>
          <w:numId w:val="10"/>
        </w:numPr>
        <w:spacing w:before="100" w:beforeAutospacing="1" w:after="100" w:afterAutospacing="1" w:line="240" w:lineRule="auto"/>
        <w:rPr>
          <w:rFonts w:eastAsia="Times New Roman" w:cs="Times New Roman"/>
          <w:sz w:val="24"/>
          <w:szCs w:val="24"/>
        </w:rPr>
      </w:pPr>
      <w:r w:rsidRPr="002815CD">
        <w:rPr>
          <w:rFonts w:eastAsia="Times New Roman" w:cs="Times New Roman"/>
          <w:b/>
          <w:bCs/>
          <w:sz w:val="24"/>
          <w:szCs w:val="24"/>
        </w:rPr>
        <w:t>Second Chance Points</w:t>
      </w:r>
      <w:r w:rsidRPr="002815CD">
        <w:rPr>
          <w:rFonts w:eastAsia="Times New Roman" w:cs="Times New Roman"/>
          <w:sz w:val="24"/>
          <w:szCs w:val="24"/>
        </w:rPr>
        <w:t xml:space="preserve"> and </w:t>
      </w:r>
      <w:r w:rsidRPr="002815CD">
        <w:rPr>
          <w:rFonts w:eastAsia="Times New Roman" w:cs="Times New Roman"/>
          <w:b/>
          <w:bCs/>
          <w:sz w:val="24"/>
          <w:szCs w:val="24"/>
        </w:rPr>
        <w:t>Bench Points</w:t>
      </w:r>
      <w:r w:rsidRPr="002815CD">
        <w:rPr>
          <w:rFonts w:eastAsia="Times New Roman" w:cs="Times New Roman"/>
          <w:sz w:val="24"/>
          <w:szCs w:val="24"/>
        </w:rPr>
        <w:t xml:space="preserve"> were also up, suggesting that Hobart’s depth and effort on the offensive glass have contributed to success late in these stretches.</w:t>
      </w:r>
    </w:p>
    <w:p w14:paraId="7A6F9B84" w14:textId="3944DBD1" w:rsidR="004A6FC2" w:rsidRPr="002815CD" w:rsidRDefault="004A6FC2" w:rsidP="00E564A2">
      <w:pPr>
        <w:numPr>
          <w:ilvl w:val="0"/>
          <w:numId w:val="10"/>
        </w:numPr>
        <w:spacing w:before="100" w:beforeAutospacing="1" w:after="100" w:afterAutospacing="1" w:line="240" w:lineRule="auto"/>
        <w:rPr>
          <w:rFonts w:eastAsia="Times New Roman" w:cs="Times New Roman"/>
          <w:sz w:val="24"/>
          <w:szCs w:val="24"/>
        </w:rPr>
      </w:pPr>
      <w:r w:rsidRPr="002815CD">
        <w:rPr>
          <w:rFonts w:eastAsia="Times New Roman" w:cs="Times New Roman"/>
          <w:b/>
          <w:bCs/>
          <w:sz w:val="24"/>
          <w:szCs w:val="24"/>
        </w:rPr>
        <w:t>Turnovers decreased slightly</w:t>
      </w:r>
      <w:r w:rsidRPr="002815CD">
        <w:rPr>
          <w:rFonts w:eastAsia="Times New Roman" w:cs="Times New Roman"/>
          <w:sz w:val="24"/>
          <w:szCs w:val="24"/>
        </w:rPr>
        <w:t>, reflecting improved decision-making under pressure.</w:t>
      </w:r>
    </w:p>
    <w:p w14:paraId="20D15610" w14:textId="1E351F4A" w:rsidR="00DF7AD2" w:rsidRPr="00E564A2" w:rsidRDefault="00000000" w:rsidP="00E564A2">
      <w:pPr>
        <w:pStyle w:val="Heading2"/>
        <w:rPr>
          <w:color w:val="F25E16"/>
        </w:rPr>
      </w:pPr>
      <w:r w:rsidRPr="00C64F27">
        <w:rPr>
          <w:color w:val="F25E16"/>
        </w:rPr>
        <w:lastRenderedPageBreak/>
        <w:t>Moderate Decreases in B2B Games</w:t>
      </w:r>
    </w:p>
    <w:tbl>
      <w:tblPr>
        <w:tblStyle w:val="GridTable4-Accent4"/>
        <w:tblW w:w="9000" w:type="dxa"/>
        <w:tblInd w:w="-72" w:type="dxa"/>
        <w:tblLook w:val="04A0" w:firstRow="1" w:lastRow="0" w:firstColumn="1" w:lastColumn="0" w:noHBand="0" w:noVBand="1"/>
      </w:tblPr>
      <w:tblGrid>
        <w:gridCol w:w="2406"/>
        <w:gridCol w:w="1937"/>
        <w:gridCol w:w="2108"/>
        <w:gridCol w:w="1315"/>
        <w:gridCol w:w="1234"/>
      </w:tblGrid>
      <w:tr w:rsidR="007F2258" w14:paraId="04245E47" w14:textId="5074EE53" w:rsidTr="00F94A78">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06" w:type="dxa"/>
          </w:tcPr>
          <w:p w14:paraId="7E8EC3CB" w14:textId="77777777" w:rsidR="007F2258" w:rsidRDefault="007F2258" w:rsidP="00A774B0">
            <w:r>
              <w:t>Metric</w:t>
            </w:r>
          </w:p>
        </w:tc>
        <w:tc>
          <w:tcPr>
            <w:tcW w:w="1937" w:type="dxa"/>
          </w:tcPr>
          <w:p w14:paraId="45FA3B88" w14:textId="77777777" w:rsidR="007F2258" w:rsidRDefault="007F2258" w:rsidP="00A774B0">
            <w:pPr>
              <w:cnfStyle w:val="100000000000" w:firstRow="1" w:lastRow="0" w:firstColumn="0" w:lastColumn="0" w:oddVBand="0" w:evenVBand="0" w:oddHBand="0" w:evenHBand="0" w:firstRowFirstColumn="0" w:firstRowLastColumn="0" w:lastRowFirstColumn="0" w:lastRowLastColumn="0"/>
            </w:pPr>
            <w:r>
              <w:t>Full Season</w:t>
            </w:r>
          </w:p>
        </w:tc>
        <w:tc>
          <w:tcPr>
            <w:tcW w:w="2108" w:type="dxa"/>
          </w:tcPr>
          <w:p w14:paraId="2BCAA2C1" w14:textId="77777777" w:rsidR="007F2258" w:rsidRDefault="007F2258" w:rsidP="00A774B0">
            <w:pPr>
              <w:cnfStyle w:val="100000000000" w:firstRow="1" w:lastRow="0" w:firstColumn="0" w:lastColumn="0" w:oddVBand="0" w:evenVBand="0" w:oddHBand="0" w:evenHBand="0" w:firstRowFirstColumn="0" w:firstRowLastColumn="0" w:lastRowFirstColumn="0" w:lastRowLastColumn="0"/>
            </w:pPr>
            <w:r>
              <w:t>Second Day B2B</w:t>
            </w:r>
          </w:p>
        </w:tc>
        <w:tc>
          <w:tcPr>
            <w:tcW w:w="1315" w:type="dxa"/>
          </w:tcPr>
          <w:p w14:paraId="17D2917E" w14:textId="1E610325" w:rsidR="007F2258" w:rsidRDefault="00F94A78" w:rsidP="00A774B0">
            <w:pPr>
              <w:cnfStyle w:val="100000000000" w:firstRow="1" w:lastRow="0" w:firstColumn="0" w:lastColumn="0" w:oddVBand="0" w:evenVBand="0" w:oddHBand="0" w:evenHBand="0" w:firstRowFirstColumn="0" w:firstRowLastColumn="0" w:lastRowFirstColumn="0" w:lastRowLastColumn="0"/>
            </w:pPr>
            <w:r>
              <w:t>Margin Change</w:t>
            </w:r>
          </w:p>
        </w:tc>
        <w:tc>
          <w:tcPr>
            <w:tcW w:w="1234" w:type="dxa"/>
          </w:tcPr>
          <w:p w14:paraId="30E7D99E" w14:textId="692E98A3" w:rsidR="007F2258" w:rsidRDefault="00F94A78" w:rsidP="00A774B0">
            <w:pPr>
              <w:cnfStyle w:val="100000000000" w:firstRow="1" w:lastRow="0" w:firstColumn="0" w:lastColumn="0" w:oddVBand="0" w:evenVBand="0" w:oddHBand="0" w:evenHBand="0" w:firstRowFirstColumn="0" w:firstRowLastColumn="0" w:lastRowFirstColumn="0" w:lastRowLastColumn="0"/>
            </w:pPr>
            <w:r>
              <w:t>% Margin Change</w:t>
            </w:r>
          </w:p>
        </w:tc>
      </w:tr>
      <w:tr w:rsidR="007F2258" w14:paraId="3E1D6C27" w14:textId="77777777" w:rsidTr="00F94A7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06" w:type="dxa"/>
          </w:tcPr>
          <w:p w14:paraId="43A03034" w14:textId="6A14EE34" w:rsidR="007F2258" w:rsidRDefault="007F2258" w:rsidP="007F2258">
            <w:r>
              <w:t>Blocks</w:t>
            </w:r>
          </w:p>
        </w:tc>
        <w:tc>
          <w:tcPr>
            <w:tcW w:w="1937" w:type="dxa"/>
          </w:tcPr>
          <w:p w14:paraId="73661447" w14:textId="40033016" w:rsidR="007F2258" w:rsidRDefault="007F2258" w:rsidP="007F2258">
            <w:pPr>
              <w:cnfStyle w:val="000000100000" w:firstRow="0" w:lastRow="0" w:firstColumn="0" w:lastColumn="0" w:oddVBand="0" w:evenVBand="0" w:oddHBand="1" w:evenHBand="0" w:firstRowFirstColumn="0" w:firstRowLastColumn="0" w:lastRowFirstColumn="0" w:lastRowLastColumn="0"/>
            </w:pPr>
            <w:r>
              <w:t>2.9</w:t>
            </w:r>
          </w:p>
        </w:tc>
        <w:tc>
          <w:tcPr>
            <w:tcW w:w="2108" w:type="dxa"/>
          </w:tcPr>
          <w:p w14:paraId="2E24DC62" w14:textId="555884BF" w:rsidR="007F2258" w:rsidRDefault="007F2258" w:rsidP="007F2258">
            <w:pPr>
              <w:cnfStyle w:val="000000100000" w:firstRow="0" w:lastRow="0" w:firstColumn="0" w:lastColumn="0" w:oddVBand="0" w:evenVBand="0" w:oddHBand="1" w:evenHBand="0" w:firstRowFirstColumn="0" w:firstRowLastColumn="0" w:lastRowFirstColumn="0" w:lastRowLastColumn="0"/>
            </w:pPr>
            <w:r>
              <w:t>2.5</w:t>
            </w:r>
          </w:p>
        </w:tc>
        <w:tc>
          <w:tcPr>
            <w:tcW w:w="1315" w:type="dxa"/>
          </w:tcPr>
          <w:p w14:paraId="5727675A" w14:textId="3FE97B8A" w:rsidR="007F2258" w:rsidRDefault="007F2258" w:rsidP="007F2258">
            <w:pPr>
              <w:cnfStyle w:val="000000100000" w:firstRow="0" w:lastRow="0" w:firstColumn="0" w:lastColumn="0" w:oddVBand="0" w:evenVBand="0" w:oddHBand="1" w:evenHBand="0" w:firstRowFirstColumn="0" w:firstRowLastColumn="0" w:lastRowFirstColumn="0" w:lastRowLastColumn="0"/>
            </w:pPr>
            <w:r>
              <w:t>-0.4</w:t>
            </w:r>
          </w:p>
        </w:tc>
        <w:tc>
          <w:tcPr>
            <w:tcW w:w="1234" w:type="dxa"/>
          </w:tcPr>
          <w:p w14:paraId="1DB4DA0A" w14:textId="407AD949" w:rsidR="007F2258" w:rsidRDefault="007F2258" w:rsidP="007F2258">
            <w:pPr>
              <w:cnfStyle w:val="000000100000" w:firstRow="0" w:lastRow="0" w:firstColumn="0" w:lastColumn="0" w:oddVBand="0" w:evenVBand="0" w:oddHBand="1" w:evenHBand="0" w:firstRowFirstColumn="0" w:firstRowLastColumn="0" w:lastRowFirstColumn="0" w:lastRowLastColumn="0"/>
            </w:pPr>
            <w:r>
              <w:t>-13.8%</w:t>
            </w:r>
          </w:p>
        </w:tc>
      </w:tr>
      <w:tr w:rsidR="007F2258" w14:paraId="285BBFA0" w14:textId="77777777" w:rsidTr="00F94A78">
        <w:trPr>
          <w:trHeight w:val="273"/>
        </w:trPr>
        <w:tc>
          <w:tcPr>
            <w:cnfStyle w:val="001000000000" w:firstRow="0" w:lastRow="0" w:firstColumn="1" w:lastColumn="0" w:oddVBand="0" w:evenVBand="0" w:oddHBand="0" w:evenHBand="0" w:firstRowFirstColumn="0" w:firstRowLastColumn="0" w:lastRowFirstColumn="0" w:lastRowLastColumn="0"/>
            <w:tcW w:w="2406" w:type="dxa"/>
          </w:tcPr>
          <w:p w14:paraId="1EB3C3CA" w14:textId="0EF95039" w:rsidR="007F2258" w:rsidRDefault="007F2258" w:rsidP="007F2258">
            <w:r>
              <w:t>3pt FG</w:t>
            </w:r>
            <w:r w:rsidR="00ED4A8A">
              <w:t>A</w:t>
            </w:r>
          </w:p>
        </w:tc>
        <w:tc>
          <w:tcPr>
            <w:tcW w:w="1937" w:type="dxa"/>
          </w:tcPr>
          <w:p w14:paraId="716AEB21" w14:textId="270063E9" w:rsidR="007F2258" w:rsidRDefault="007F2258" w:rsidP="007F2258">
            <w:pPr>
              <w:cnfStyle w:val="000000000000" w:firstRow="0" w:lastRow="0" w:firstColumn="0" w:lastColumn="0" w:oddVBand="0" w:evenVBand="0" w:oddHBand="0" w:evenHBand="0" w:firstRowFirstColumn="0" w:firstRowLastColumn="0" w:lastRowFirstColumn="0" w:lastRowLastColumn="0"/>
            </w:pPr>
            <w:r>
              <w:t>20.26</w:t>
            </w:r>
          </w:p>
        </w:tc>
        <w:tc>
          <w:tcPr>
            <w:tcW w:w="2108" w:type="dxa"/>
          </w:tcPr>
          <w:p w14:paraId="2DCB4D85" w14:textId="55059E56" w:rsidR="007F2258" w:rsidRDefault="007F2258" w:rsidP="007F2258">
            <w:pPr>
              <w:cnfStyle w:val="000000000000" w:firstRow="0" w:lastRow="0" w:firstColumn="0" w:lastColumn="0" w:oddVBand="0" w:evenVBand="0" w:oddHBand="0" w:evenHBand="0" w:firstRowFirstColumn="0" w:firstRowLastColumn="0" w:lastRowFirstColumn="0" w:lastRowLastColumn="0"/>
            </w:pPr>
            <w:r>
              <w:t>18.91</w:t>
            </w:r>
          </w:p>
        </w:tc>
        <w:tc>
          <w:tcPr>
            <w:tcW w:w="1315" w:type="dxa"/>
          </w:tcPr>
          <w:p w14:paraId="6B69BCCF" w14:textId="69C91E0D" w:rsidR="007F2258" w:rsidRDefault="007F2258" w:rsidP="007F2258">
            <w:pPr>
              <w:cnfStyle w:val="000000000000" w:firstRow="0" w:lastRow="0" w:firstColumn="0" w:lastColumn="0" w:oddVBand="0" w:evenVBand="0" w:oddHBand="0" w:evenHBand="0" w:firstRowFirstColumn="0" w:firstRowLastColumn="0" w:lastRowFirstColumn="0" w:lastRowLastColumn="0"/>
            </w:pPr>
            <w:r>
              <w:t>-1.35</w:t>
            </w:r>
          </w:p>
        </w:tc>
        <w:tc>
          <w:tcPr>
            <w:tcW w:w="1234" w:type="dxa"/>
          </w:tcPr>
          <w:p w14:paraId="527D34B4" w14:textId="1645A609" w:rsidR="007F2258" w:rsidRDefault="007F2258" w:rsidP="007F2258">
            <w:pPr>
              <w:cnfStyle w:val="000000000000" w:firstRow="0" w:lastRow="0" w:firstColumn="0" w:lastColumn="0" w:oddVBand="0" w:evenVBand="0" w:oddHBand="0" w:evenHBand="0" w:firstRowFirstColumn="0" w:firstRowLastColumn="0" w:lastRowFirstColumn="0" w:lastRowLastColumn="0"/>
            </w:pPr>
            <w:r>
              <w:t>-6.7%</w:t>
            </w:r>
          </w:p>
        </w:tc>
      </w:tr>
      <w:tr w:rsidR="007F2258" w14:paraId="63EC818F" w14:textId="499458B7" w:rsidTr="00F94A7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06" w:type="dxa"/>
          </w:tcPr>
          <w:p w14:paraId="0241728F" w14:textId="31C05C1D" w:rsidR="007F2258" w:rsidRDefault="007F2258" w:rsidP="007F2258">
            <w:r>
              <w:t>Steals</w:t>
            </w:r>
          </w:p>
        </w:tc>
        <w:tc>
          <w:tcPr>
            <w:tcW w:w="1937" w:type="dxa"/>
          </w:tcPr>
          <w:p w14:paraId="23D4843C" w14:textId="6CB42A21" w:rsidR="007F2258" w:rsidRDefault="007F2258" w:rsidP="007F2258">
            <w:pPr>
              <w:cnfStyle w:val="000000100000" w:firstRow="0" w:lastRow="0" w:firstColumn="0" w:lastColumn="0" w:oddVBand="0" w:evenVBand="0" w:oddHBand="1" w:evenHBand="0" w:firstRowFirstColumn="0" w:firstRowLastColumn="0" w:lastRowFirstColumn="0" w:lastRowLastColumn="0"/>
            </w:pPr>
            <w:r>
              <w:t>5.81</w:t>
            </w:r>
          </w:p>
        </w:tc>
        <w:tc>
          <w:tcPr>
            <w:tcW w:w="2108" w:type="dxa"/>
          </w:tcPr>
          <w:p w14:paraId="2AE1B2B0" w14:textId="25DCB006" w:rsidR="007F2258" w:rsidRDefault="007F2258" w:rsidP="007F2258">
            <w:pPr>
              <w:cnfStyle w:val="000000100000" w:firstRow="0" w:lastRow="0" w:firstColumn="0" w:lastColumn="0" w:oddVBand="0" w:evenVBand="0" w:oddHBand="1" w:evenHBand="0" w:firstRowFirstColumn="0" w:firstRowLastColumn="0" w:lastRowFirstColumn="0" w:lastRowLastColumn="0"/>
            </w:pPr>
            <w:r>
              <w:t>5.55</w:t>
            </w:r>
          </w:p>
        </w:tc>
        <w:tc>
          <w:tcPr>
            <w:tcW w:w="1315" w:type="dxa"/>
          </w:tcPr>
          <w:p w14:paraId="2F90DFF5" w14:textId="6695437F" w:rsidR="007F2258" w:rsidRDefault="007F2258" w:rsidP="007F2258">
            <w:pPr>
              <w:cnfStyle w:val="000000100000" w:firstRow="0" w:lastRow="0" w:firstColumn="0" w:lastColumn="0" w:oddVBand="0" w:evenVBand="0" w:oddHBand="1" w:evenHBand="0" w:firstRowFirstColumn="0" w:firstRowLastColumn="0" w:lastRowFirstColumn="0" w:lastRowLastColumn="0"/>
            </w:pPr>
            <w:r>
              <w:t>-0.26</w:t>
            </w:r>
          </w:p>
        </w:tc>
        <w:tc>
          <w:tcPr>
            <w:tcW w:w="1234" w:type="dxa"/>
          </w:tcPr>
          <w:p w14:paraId="5B1C47E9" w14:textId="269EFBB7" w:rsidR="007F2258" w:rsidRDefault="007F2258" w:rsidP="007F2258">
            <w:pPr>
              <w:cnfStyle w:val="000000100000" w:firstRow="0" w:lastRow="0" w:firstColumn="0" w:lastColumn="0" w:oddVBand="0" w:evenVBand="0" w:oddHBand="1" w:evenHBand="0" w:firstRowFirstColumn="0" w:firstRowLastColumn="0" w:lastRowFirstColumn="0" w:lastRowLastColumn="0"/>
            </w:pPr>
            <w:r>
              <w:t>-4.5%</w:t>
            </w:r>
          </w:p>
        </w:tc>
      </w:tr>
      <w:tr w:rsidR="007F2258" w14:paraId="56339059" w14:textId="0A289D29" w:rsidTr="00F94A78">
        <w:trPr>
          <w:trHeight w:val="273"/>
        </w:trPr>
        <w:tc>
          <w:tcPr>
            <w:cnfStyle w:val="001000000000" w:firstRow="0" w:lastRow="0" w:firstColumn="1" w:lastColumn="0" w:oddVBand="0" w:evenVBand="0" w:oddHBand="0" w:evenHBand="0" w:firstRowFirstColumn="0" w:firstRowLastColumn="0" w:lastRowFirstColumn="0" w:lastRowLastColumn="0"/>
            <w:tcW w:w="2406" w:type="dxa"/>
          </w:tcPr>
          <w:p w14:paraId="03EECF17" w14:textId="5418DC5B" w:rsidR="007F2258" w:rsidRDefault="007F2258" w:rsidP="007F2258">
            <w:r>
              <w:t>Off. Rebounds</w:t>
            </w:r>
          </w:p>
        </w:tc>
        <w:tc>
          <w:tcPr>
            <w:tcW w:w="1937" w:type="dxa"/>
          </w:tcPr>
          <w:p w14:paraId="7B8B5322" w14:textId="12E27A47" w:rsidR="007F2258" w:rsidRDefault="007F2258" w:rsidP="007F2258">
            <w:pPr>
              <w:cnfStyle w:val="000000000000" w:firstRow="0" w:lastRow="0" w:firstColumn="0" w:lastColumn="0" w:oddVBand="0" w:evenVBand="0" w:oddHBand="0" w:evenHBand="0" w:firstRowFirstColumn="0" w:firstRowLastColumn="0" w:lastRowFirstColumn="0" w:lastRowLastColumn="0"/>
            </w:pPr>
            <w:r>
              <w:t>11.63</w:t>
            </w:r>
          </w:p>
        </w:tc>
        <w:tc>
          <w:tcPr>
            <w:tcW w:w="2108" w:type="dxa"/>
          </w:tcPr>
          <w:p w14:paraId="2B013EE2" w14:textId="6EC282EE" w:rsidR="007F2258" w:rsidRDefault="007F2258" w:rsidP="007F2258">
            <w:pPr>
              <w:cnfStyle w:val="000000000000" w:firstRow="0" w:lastRow="0" w:firstColumn="0" w:lastColumn="0" w:oddVBand="0" w:evenVBand="0" w:oddHBand="0" w:evenHBand="0" w:firstRowFirstColumn="0" w:firstRowLastColumn="0" w:lastRowFirstColumn="0" w:lastRowLastColumn="0"/>
            </w:pPr>
            <w:r>
              <w:t>11.14</w:t>
            </w:r>
          </w:p>
        </w:tc>
        <w:tc>
          <w:tcPr>
            <w:tcW w:w="1315" w:type="dxa"/>
          </w:tcPr>
          <w:p w14:paraId="69D61D6B" w14:textId="1E2CE85D" w:rsidR="007F2258" w:rsidRDefault="007F2258" w:rsidP="007F2258">
            <w:pPr>
              <w:cnfStyle w:val="000000000000" w:firstRow="0" w:lastRow="0" w:firstColumn="0" w:lastColumn="0" w:oddVBand="0" w:evenVBand="0" w:oddHBand="0" w:evenHBand="0" w:firstRowFirstColumn="0" w:firstRowLastColumn="0" w:lastRowFirstColumn="0" w:lastRowLastColumn="0"/>
            </w:pPr>
            <w:r>
              <w:t>-0.49</w:t>
            </w:r>
          </w:p>
        </w:tc>
        <w:tc>
          <w:tcPr>
            <w:tcW w:w="1234" w:type="dxa"/>
          </w:tcPr>
          <w:p w14:paraId="5321DCE0" w14:textId="6CFA5A5F" w:rsidR="007F2258" w:rsidRDefault="007F2258" w:rsidP="007F2258">
            <w:pPr>
              <w:cnfStyle w:val="000000000000" w:firstRow="0" w:lastRow="0" w:firstColumn="0" w:lastColumn="0" w:oddVBand="0" w:evenVBand="0" w:oddHBand="0" w:evenHBand="0" w:firstRowFirstColumn="0" w:firstRowLastColumn="0" w:lastRowFirstColumn="0" w:lastRowLastColumn="0"/>
            </w:pPr>
            <w:r>
              <w:t>-4.2%</w:t>
            </w:r>
          </w:p>
        </w:tc>
      </w:tr>
      <w:tr w:rsidR="007F2258" w14:paraId="7B7DA436" w14:textId="552352F1" w:rsidTr="00F94A78">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406" w:type="dxa"/>
          </w:tcPr>
          <w:p w14:paraId="2A06AA8F" w14:textId="39A43E2E" w:rsidR="007F2258" w:rsidRDefault="007F2258" w:rsidP="007F2258">
            <w:r>
              <w:t>Rebounds</w:t>
            </w:r>
          </w:p>
        </w:tc>
        <w:tc>
          <w:tcPr>
            <w:tcW w:w="1937" w:type="dxa"/>
          </w:tcPr>
          <w:p w14:paraId="5CCA00CC" w14:textId="7C9B0B36" w:rsidR="007F2258" w:rsidRDefault="007F2258" w:rsidP="007F2258">
            <w:pPr>
              <w:cnfStyle w:val="000000100000" w:firstRow="0" w:lastRow="0" w:firstColumn="0" w:lastColumn="0" w:oddVBand="0" w:evenVBand="0" w:oddHBand="1" w:evenHBand="0" w:firstRowFirstColumn="0" w:firstRowLastColumn="0" w:lastRowFirstColumn="0" w:lastRowLastColumn="0"/>
            </w:pPr>
            <w:r>
              <w:t>39.76</w:t>
            </w:r>
          </w:p>
        </w:tc>
        <w:tc>
          <w:tcPr>
            <w:tcW w:w="2108" w:type="dxa"/>
          </w:tcPr>
          <w:p w14:paraId="4C8D6B93" w14:textId="4F4E36A8" w:rsidR="007F2258" w:rsidRDefault="007F2258" w:rsidP="007F2258">
            <w:pPr>
              <w:cnfStyle w:val="000000100000" w:firstRow="0" w:lastRow="0" w:firstColumn="0" w:lastColumn="0" w:oddVBand="0" w:evenVBand="0" w:oddHBand="1" w:evenHBand="0" w:firstRowFirstColumn="0" w:firstRowLastColumn="0" w:lastRowFirstColumn="0" w:lastRowLastColumn="0"/>
            </w:pPr>
            <w:r>
              <w:t>38.5</w:t>
            </w:r>
          </w:p>
        </w:tc>
        <w:tc>
          <w:tcPr>
            <w:tcW w:w="1315" w:type="dxa"/>
          </w:tcPr>
          <w:p w14:paraId="6864BB98" w14:textId="4BC7923A" w:rsidR="007F2258" w:rsidRDefault="007F2258" w:rsidP="007F2258">
            <w:pPr>
              <w:cnfStyle w:val="000000100000" w:firstRow="0" w:lastRow="0" w:firstColumn="0" w:lastColumn="0" w:oddVBand="0" w:evenVBand="0" w:oddHBand="1" w:evenHBand="0" w:firstRowFirstColumn="0" w:firstRowLastColumn="0" w:lastRowFirstColumn="0" w:lastRowLastColumn="0"/>
            </w:pPr>
            <w:r>
              <w:t>-1.26</w:t>
            </w:r>
          </w:p>
        </w:tc>
        <w:tc>
          <w:tcPr>
            <w:tcW w:w="1234" w:type="dxa"/>
          </w:tcPr>
          <w:p w14:paraId="4731D206" w14:textId="279CD8C2" w:rsidR="007F2258" w:rsidRDefault="007F2258" w:rsidP="007F2258">
            <w:pPr>
              <w:cnfStyle w:val="000000100000" w:firstRow="0" w:lastRow="0" w:firstColumn="0" w:lastColumn="0" w:oddVBand="0" w:evenVBand="0" w:oddHBand="1" w:evenHBand="0" w:firstRowFirstColumn="0" w:firstRowLastColumn="0" w:lastRowFirstColumn="0" w:lastRowLastColumn="0"/>
            </w:pPr>
            <w:r>
              <w:t>-3.2%</w:t>
            </w:r>
          </w:p>
        </w:tc>
      </w:tr>
      <w:tr w:rsidR="007F2258" w14:paraId="251A21C0" w14:textId="5D530E4A" w:rsidTr="00F94A78">
        <w:trPr>
          <w:trHeight w:val="296"/>
        </w:trPr>
        <w:tc>
          <w:tcPr>
            <w:cnfStyle w:val="001000000000" w:firstRow="0" w:lastRow="0" w:firstColumn="1" w:lastColumn="0" w:oddVBand="0" w:evenVBand="0" w:oddHBand="0" w:evenHBand="0" w:firstRowFirstColumn="0" w:firstRowLastColumn="0" w:lastRowFirstColumn="0" w:lastRowLastColumn="0"/>
            <w:tcW w:w="2406" w:type="dxa"/>
          </w:tcPr>
          <w:p w14:paraId="1335978D" w14:textId="1ADAB23B" w:rsidR="007F2258" w:rsidRDefault="007F2258" w:rsidP="007F2258">
            <w:r>
              <w:t>FG</w:t>
            </w:r>
            <w:r w:rsidR="00ED4A8A">
              <w:t>A</w:t>
            </w:r>
          </w:p>
        </w:tc>
        <w:tc>
          <w:tcPr>
            <w:tcW w:w="1937" w:type="dxa"/>
          </w:tcPr>
          <w:p w14:paraId="0A03C14F" w14:textId="2F1526D6" w:rsidR="007F2258" w:rsidRDefault="007F2258" w:rsidP="007F2258">
            <w:pPr>
              <w:cnfStyle w:val="000000000000" w:firstRow="0" w:lastRow="0" w:firstColumn="0" w:lastColumn="0" w:oddVBand="0" w:evenVBand="0" w:oddHBand="0" w:evenHBand="0" w:firstRowFirstColumn="0" w:firstRowLastColumn="0" w:lastRowFirstColumn="0" w:lastRowLastColumn="0"/>
            </w:pPr>
            <w:r>
              <w:t>58.81</w:t>
            </w:r>
          </w:p>
        </w:tc>
        <w:tc>
          <w:tcPr>
            <w:tcW w:w="2108" w:type="dxa"/>
          </w:tcPr>
          <w:p w14:paraId="4D1BB94F" w14:textId="77777777" w:rsidR="007F2258" w:rsidRDefault="007F2258" w:rsidP="007F2258">
            <w:pPr>
              <w:cnfStyle w:val="000000000000" w:firstRow="0" w:lastRow="0" w:firstColumn="0" w:lastColumn="0" w:oddVBand="0" w:evenVBand="0" w:oddHBand="0" w:evenHBand="0" w:firstRowFirstColumn="0" w:firstRowLastColumn="0" w:lastRowFirstColumn="0" w:lastRowLastColumn="0"/>
            </w:pPr>
            <w:r>
              <w:t>57.57</w:t>
            </w:r>
          </w:p>
        </w:tc>
        <w:tc>
          <w:tcPr>
            <w:tcW w:w="1315" w:type="dxa"/>
          </w:tcPr>
          <w:p w14:paraId="3BA0DBB9" w14:textId="1FCA010B" w:rsidR="007F2258" w:rsidRDefault="007F2258" w:rsidP="007F2258">
            <w:pPr>
              <w:cnfStyle w:val="000000000000" w:firstRow="0" w:lastRow="0" w:firstColumn="0" w:lastColumn="0" w:oddVBand="0" w:evenVBand="0" w:oddHBand="0" w:evenHBand="0" w:firstRowFirstColumn="0" w:firstRowLastColumn="0" w:lastRowFirstColumn="0" w:lastRowLastColumn="0"/>
            </w:pPr>
            <w:r>
              <w:t>-1.24</w:t>
            </w:r>
          </w:p>
        </w:tc>
        <w:tc>
          <w:tcPr>
            <w:tcW w:w="1234" w:type="dxa"/>
          </w:tcPr>
          <w:p w14:paraId="56580C1E" w14:textId="7A909CC6" w:rsidR="007F2258" w:rsidRDefault="007F2258" w:rsidP="007F2258">
            <w:pPr>
              <w:cnfStyle w:val="000000000000" w:firstRow="0" w:lastRow="0" w:firstColumn="0" w:lastColumn="0" w:oddVBand="0" w:evenVBand="0" w:oddHBand="0" w:evenHBand="0" w:firstRowFirstColumn="0" w:firstRowLastColumn="0" w:lastRowFirstColumn="0" w:lastRowLastColumn="0"/>
            </w:pPr>
            <w:r>
              <w:t>-2.1%</w:t>
            </w:r>
          </w:p>
        </w:tc>
      </w:tr>
      <w:tr w:rsidR="007F2258" w14:paraId="4A9F50C8" w14:textId="77777777" w:rsidTr="00F94A7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406" w:type="dxa"/>
          </w:tcPr>
          <w:p w14:paraId="1E6BAB52" w14:textId="2207D467" w:rsidR="007F2258" w:rsidRDefault="007F2258" w:rsidP="007F2258">
            <w:r>
              <w:t>Fast Break Points</w:t>
            </w:r>
          </w:p>
        </w:tc>
        <w:tc>
          <w:tcPr>
            <w:tcW w:w="1937" w:type="dxa"/>
          </w:tcPr>
          <w:p w14:paraId="239821A9" w14:textId="7EC70019" w:rsidR="007F2258" w:rsidRDefault="007F2258" w:rsidP="007F2258">
            <w:pPr>
              <w:cnfStyle w:val="000000100000" w:firstRow="0" w:lastRow="0" w:firstColumn="0" w:lastColumn="0" w:oddVBand="0" w:evenVBand="0" w:oddHBand="1" w:evenHBand="0" w:firstRowFirstColumn="0" w:firstRowLastColumn="0" w:lastRowFirstColumn="0" w:lastRowLastColumn="0"/>
            </w:pPr>
            <w:r>
              <w:t>6.64</w:t>
            </w:r>
          </w:p>
        </w:tc>
        <w:tc>
          <w:tcPr>
            <w:tcW w:w="2108" w:type="dxa"/>
          </w:tcPr>
          <w:p w14:paraId="1E502511" w14:textId="77F6090E" w:rsidR="007F2258" w:rsidRDefault="007F2258" w:rsidP="007F2258">
            <w:pPr>
              <w:cnfStyle w:val="000000100000" w:firstRow="0" w:lastRow="0" w:firstColumn="0" w:lastColumn="0" w:oddVBand="0" w:evenVBand="0" w:oddHBand="1" w:evenHBand="0" w:firstRowFirstColumn="0" w:firstRowLastColumn="0" w:lastRowFirstColumn="0" w:lastRowLastColumn="0"/>
            </w:pPr>
            <w:r>
              <w:t>6.5</w:t>
            </w:r>
          </w:p>
        </w:tc>
        <w:tc>
          <w:tcPr>
            <w:tcW w:w="1315" w:type="dxa"/>
          </w:tcPr>
          <w:p w14:paraId="03AABA65" w14:textId="15311DAD" w:rsidR="007F2258" w:rsidRDefault="007F2258" w:rsidP="007F2258">
            <w:pPr>
              <w:cnfStyle w:val="000000100000" w:firstRow="0" w:lastRow="0" w:firstColumn="0" w:lastColumn="0" w:oddVBand="0" w:evenVBand="0" w:oddHBand="1" w:evenHBand="0" w:firstRowFirstColumn="0" w:firstRowLastColumn="0" w:lastRowFirstColumn="0" w:lastRowLastColumn="0"/>
            </w:pPr>
            <w:r>
              <w:t>-0.14</w:t>
            </w:r>
          </w:p>
        </w:tc>
        <w:tc>
          <w:tcPr>
            <w:tcW w:w="1234" w:type="dxa"/>
          </w:tcPr>
          <w:p w14:paraId="47BD7787" w14:textId="623C3FCC" w:rsidR="007F2258" w:rsidRDefault="007F2258" w:rsidP="007F2258">
            <w:pPr>
              <w:cnfStyle w:val="000000100000" w:firstRow="0" w:lastRow="0" w:firstColumn="0" w:lastColumn="0" w:oddVBand="0" w:evenVBand="0" w:oddHBand="1" w:evenHBand="0" w:firstRowFirstColumn="0" w:firstRowLastColumn="0" w:lastRowFirstColumn="0" w:lastRowLastColumn="0"/>
            </w:pPr>
            <w:r>
              <w:t>-2.1%</w:t>
            </w:r>
          </w:p>
        </w:tc>
      </w:tr>
    </w:tbl>
    <w:p w14:paraId="2E5C68B1" w14:textId="77777777" w:rsidR="004A6FC2" w:rsidRPr="002815CD" w:rsidRDefault="004A6FC2" w:rsidP="004A6FC2">
      <w:pPr>
        <w:spacing w:before="100" w:beforeAutospacing="1" w:after="100" w:afterAutospacing="1" w:line="240" w:lineRule="auto"/>
        <w:rPr>
          <w:rFonts w:ascii="Cambria" w:eastAsia="Times New Roman" w:hAnsi="Cambria" w:cs="Times New Roman"/>
          <w:sz w:val="24"/>
          <w:szCs w:val="24"/>
        </w:rPr>
      </w:pPr>
      <w:r w:rsidRPr="002815CD">
        <w:rPr>
          <w:rFonts w:ascii="Cambria" w:eastAsia="Times New Roman" w:hAnsi="Cambria" w:cs="Times New Roman"/>
          <w:sz w:val="24"/>
          <w:szCs w:val="24"/>
        </w:rPr>
        <w:t xml:space="preserve">Despite strong performances in several areas, there were some declines in metrics tied to </w:t>
      </w:r>
      <w:r w:rsidRPr="002815CD">
        <w:rPr>
          <w:rFonts w:ascii="Cambria" w:eastAsia="Times New Roman" w:hAnsi="Cambria" w:cs="Times New Roman"/>
          <w:b/>
          <w:bCs/>
          <w:sz w:val="24"/>
          <w:szCs w:val="24"/>
        </w:rPr>
        <w:t>defensive disruption and pace</w:t>
      </w:r>
      <w:r w:rsidRPr="002815CD">
        <w:rPr>
          <w:rFonts w:ascii="Cambria" w:eastAsia="Times New Roman" w:hAnsi="Cambria" w:cs="Times New Roman"/>
          <w:sz w:val="24"/>
          <w:szCs w:val="24"/>
        </w:rPr>
        <w:t>:</w:t>
      </w:r>
    </w:p>
    <w:p w14:paraId="2A292957" w14:textId="77777777" w:rsidR="004A6FC2" w:rsidRPr="002815CD" w:rsidRDefault="004A6FC2" w:rsidP="004A6FC2">
      <w:pPr>
        <w:numPr>
          <w:ilvl w:val="0"/>
          <w:numId w:val="11"/>
        </w:numPr>
        <w:spacing w:before="100" w:beforeAutospacing="1" w:after="100" w:afterAutospacing="1" w:line="240" w:lineRule="auto"/>
        <w:rPr>
          <w:rFonts w:ascii="Cambria" w:eastAsia="Times New Roman" w:hAnsi="Cambria" w:cs="Times New Roman"/>
          <w:sz w:val="24"/>
          <w:szCs w:val="24"/>
        </w:rPr>
      </w:pPr>
      <w:r w:rsidRPr="002815CD">
        <w:rPr>
          <w:rFonts w:ascii="Cambria" w:eastAsia="Times New Roman" w:hAnsi="Cambria" w:cs="Times New Roman"/>
          <w:b/>
          <w:bCs/>
          <w:sz w:val="24"/>
          <w:szCs w:val="24"/>
        </w:rPr>
        <w:t>Blocks (-13.8%)</w:t>
      </w:r>
      <w:r w:rsidRPr="002815CD">
        <w:rPr>
          <w:rFonts w:ascii="Cambria" w:eastAsia="Times New Roman" w:hAnsi="Cambria" w:cs="Times New Roman"/>
          <w:sz w:val="24"/>
          <w:szCs w:val="24"/>
        </w:rPr>
        <w:t xml:space="preserve"> and </w:t>
      </w:r>
      <w:r w:rsidRPr="002815CD">
        <w:rPr>
          <w:rFonts w:ascii="Cambria" w:eastAsia="Times New Roman" w:hAnsi="Cambria" w:cs="Times New Roman"/>
          <w:b/>
          <w:bCs/>
          <w:sz w:val="24"/>
          <w:szCs w:val="24"/>
        </w:rPr>
        <w:t>Steals (-4.5%)</w:t>
      </w:r>
      <w:r w:rsidRPr="002815CD">
        <w:rPr>
          <w:rFonts w:ascii="Cambria" w:eastAsia="Times New Roman" w:hAnsi="Cambria" w:cs="Times New Roman"/>
          <w:sz w:val="24"/>
          <w:szCs w:val="24"/>
        </w:rPr>
        <w:t xml:space="preserve"> decreased, possibly due to reduced aggressiveness or fatigue on the defensive end.</w:t>
      </w:r>
    </w:p>
    <w:p w14:paraId="0823BCAF" w14:textId="77777777" w:rsidR="004A6FC2" w:rsidRPr="002815CD" w:rsidRDefault="004A6FC2" w:rsidP="004A6FC2">
      <w:pPr>
        <w:numPr>
          <w:ilvl w:val="0"/>
          <w:numId w:val="11"/>
        </w:numPr>
        <w:spacing w:before="100" w:beforeAutospacing="1" w:after="100" w:afterAutospacing="1" w:line="240" w:lineRule="auto"/>
        <w:rPr>
          <w:rFonts w:ascii="Cambria" w:eastAsia="Times New Roman" w:hAnsi="Cambria" w:cs="Times New Roman"/>
          <w:sz w:val="24"/>
          <w:szCs w:val="24"/>
        </w:rPr>
      </w:pPr>
      <w:r w:rsidRPr="002815CD">
        <w:rPr>
          <w:rFonts w:ascii="Cambria" w:eastAsia="Times New Roman" w:hAnsi="Cambria" w:cs="Times New Roman"/>
          <w:sz w:val="24"/>
          <w:szCs w:val="24"/>
        </w:rPr>
        <w:t xml:space="preserve">Lower </w:t>
      </w:r>
      <w:r w:rsidRPr="002815CD">
        <w:rPr>
          <w:rFonts w:ascii="Cambria" w:eastAsia="Times New Roman" w:hAnsi="Cambria" w:cs="Times New Roman"/>
          <w:b/>
          <w:bCs/>
          <w:sz w:val="24"/>
          <w:szCs w:val="24"/>
        </w:rPr>
        <w:t>3PT FGA (-6.7%)</w:t>
      </w:r>
      <w:r w:rsidRPr="002815CD">
        <w:rPr>
          <w:rFonts w:ascii="Cambria" w:eastAsia="Times New Roman" w:hAnsi="Cambria" w:cs="Times New Roman"/>
          <w:sz w:val="24"/>
          <w:szCs w:val="24"/>
        </w:rPr>
        <w:t xml:space="preserve">, </w:t>
      </w:r>
      <w:r w:rsidRPr="002815CD">
        <w:rPr>
          <w:rFonts w:ascii="Cambria" w:eastAsia="Times New Roman" w:hAnsi="Cambria" w:cs="Times New Roman"/>
          <w:b/>
          <w:bCs/>
          <w:sz w:val="24"/>
          <w:szCs w:val="24"/>
        </w:rPr>
        <w:t>Total FGA (-2.1%)</w:t>
      </w:r>
      <w:r w:rsidRPr="002815CD">
        <w:rPr>
          <w:rFonts w:ascii="Cambria" w:eastAsia="Times New Roman" w:hAnsi="Cambria" w:cs="Times New Roman"/>
          <w:sz w:val="24"/>
          <w:szCs w:val="24"/>
        </w:rPr>
        <w:t xml:space="preserve">, and </w:t>
      </w:r>
      <w:r w:rsidRPr="002815CD">
        <w:rPr>
          <w:rFonts w:ascii="Cambria" w:eastAsia="Times New Roman" w:hAnsi="Cambria" w:cs="Times New Roman"/>
          <w:b/>
          <w:bCs/>
          <w:sz w:val="24"/>
          <w:szCs w:val="24"/>
        </w:rPr>
        <w:t>Fast Break Points (-2.1%)</w:t>
      </w:r>
      <w:r w:rsidRPr="002815CD">
        <w:rPr>
          <w:rFonts w:ascii="Cambria" w:eastAsia="Times New Roman" w:hAnsi="Cambria" w:cs="Times New Roman"/>
          <w:sz w:val="24"/>
          <w:szCs w:val="24"/>
        </w:rPr>
        <w:t xml:space="preserve"> suggest a slight dip in tempo or transition opportunities.</w:t>
      </w:r>
    </w:p>
    <w:p w14:paraId="5E0A4363" w14:textId="77777777" w:rsidR="004A6FC2" w:rsidRPr="002815CD" w:rsidRDefault="004A6FC2" w:rsidP="004A6FC2">
      <w:pPr>
        <w:numPr>
          <w:ilvl w:val="0"/>
          <w:numId w:val="11"/>
        </w:numPr>
        <w:spacing w:before="100" w:beforeAutospacing="1" w:after="100" w:afterAutospacing="1" w:line="240" w:lineRule="auto"/>
        <w:rPr>
          <w:rFonts w:ascii="Cambria" w:eastAsia="Times New Roman" w:hAnsi="Cambria" w:cs="Times New Roman"/>
          <w:sz w:val="24"/>
          <w:szCs w:val="24"/>
        </w:rPr>
      </w:pPr>
      <w:r w:rsidRPr="002815CD">
        <w:rPr>
          <w:rFonts w:ascii="Cambria" w:eastAsia="Times New Roman" w:hAnsi="Cambria" w:cs="Times New Roman"/>
          <w:b/>
          <w:bCs/>
          <w:sz w:val="24"/>
          <w:szCs w:val="24"/>
        </w:rPr>
        <w:t>Offensive Rebounds (-4.2%)</w:t>
      </w:r>
      <w:r w:rsidRPr="002815CD">
        <w:rPr>
          <w:rFonts w:ascii="Cambria" w:eastAsia="Times New Roman" w:hAnsi="Cambria" w:cs="Times New Roman"/>
          <w:sz w:val="24"/>
          <w:szCs w:val="24"/>
        </w:rPr>
        <w:t xml:space="preserve"> and </w:t>
      </w:r>
      <w:r w:rsidRPr="002815CD">
        <w:rPr>
          <w:rFonts w:ascii="Cambria" w:eastAsia="Times New Roman" w:hAnsi="Cambria" w:cs="Times New Roman"/>
          <w:b/>
          <w:bCs/>
          <w:sz w:val="24"/>
          <w:szCs w:val="24"/>
        </w:rPr>
        <w:t>Total Rebounds (-3.2%)</w:t>
      </w:r>
      <w:r w:rsidRPr="002815CD">
        <w:rPr>
          <w:rFonts w:ascii="Cambria" w:eastAsia="Times New Roman" w:hAnsi="Cambria" w:cs="Times New Roman"/>
          <w:sz w:val="24"/>
          <w:szCs w:val="24"/>
        </w:rPr>
        <w:t xml:space="preserve"> were also slightly lower, which may connect to energy levels on the second day.</w:t>
      </w:r>
    </w:p>
    <w:p w14:paraId="3A0086C1" w14:textId="79C2FBDB" w:rsidR="004A6FC2" w:rsidRPr="002815CD" w:rsidRDefault="004A6FC2" w:rsidP="004A6FC2">
      <w:pPr>
        <w:spacing w:before="100" w:beforeAutospacing="1" w:after="100" w:afterAutospacing="1" w:line="240" w:lineRule="auto"/>
        <w:rPr>
          <w:rFonts w:ascii="Cambria" w:eastAsia="Times New Roman" w:hAnsi="Cambria" w:cs="Times New Roman"/>
          <w:sz w:val="24"/>
          <w:szCs w:val="24"/>
        </w:rPr>
      </w:pPr>
      <w:r w:rsidRPr="002815CD">
        <w:rPr>
          <w:rFonts w:ascii="Cambria" w:eastAsia="Times New Roman" w:hAnsi="Cambria" w:cs="Times New Roman"/>
          <w:sz w:val="24"/>
          <w:szCs w:val="24"/>
        </w:rPr>
        <w:t>These decreases align with expected fatigue effects when rest is limited between games.</w:t>
      </w:r>
    </w:p>
    <w:p w14:paraId="492B5F5A" w14:textId="3DEFCD6C" w:rsidR="00DF7AD2" w:rsidRPr="00C64F27" w:rsidRDefault="00000000" w:rsidP="00C64F27">
      <w:pPr>
        <w:pStyle w:val="Heading2"/>
        <w:rPr>
          <w:color w:val="F25E16"/>
        </w:rPr>
      </w:pPr>
      <w:r w:rsidRPr="00C64F27">
        <w:rPr>
          <w:color w:val="F25E16"/>
        </w:rPr>
        <w:t>Neutral or Minimal Change Categories</w:t>
      </w:r>
    </w:p>
    <w:tbl>
      <w:tblPr>
        <w:tblStyle w:val="GridTable4-Accent4"/>
        <w:tblW w:w="8928" w:type="dxa"/>
        <w:tblLook w:val="04A0" w:firstRow="1" w:lastRow="0" w:firstColumn="1" w:lastColumn="0" w:noHBand="0" w:noVBand="1"/>
      </w:tblPr>
      <w:tblGrid>
        <w:gridCol w:w="2088"/>
        <w:gridCol w:w="1564"/>
        <w:gridCol w:w="1946"/>
        <w:gridCol w:w="1530"/>
        <w:gridCol w:w="1800"/>
      </w:tblGrid>
      <w:tr w:rsidR="00F94A78" w14:paraId="64241789" w14:textId="2FB37E40" w:rsidTr="00F94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1E7479C" w14:textId="77777777" w:rsidR="00F94A78" w:rsidRDefault="00F94A78" w:rsidP="00A774B0">
            <w:r>
              <w:t>Metric</w:t>
            </w:r>
          </w:p>
        </w:tc>
        <w:tc>
          <w:tcPr>
            <w:tcW w:w="1564" w:type="dxa"/>
          </w:tcPr>
          <w:p w14:paraId="50B3286D" w14:textId="77777777" w:rsidR="00F94A78" w:rsidRDefault="00F94A78" w:rsidP="00A774B0">
            <w:pPr>
              <w:cnfStyle w:val="100000000000" w:firstRow="1" w:lastRow="0" w:firstColumn="0" w:lastColumn="0" w:oddVBand="0" w:evenVBand="0" w:oddHBand="0" w:evenHBand="0" w:firstRowFirstColumn="0" w:firstRowLastColumn="0" w:lastRowFirstColumn="0" w:lastRowLastColumn="0"/>
            </w:pPr>
            <w:r>
              <w:t>Full Season</w:t>
            </w:r>
          </w:p>
        </w:tc>
        <w:tc>
          <w:tcPr>
            <w:tcW w:w="1946" w:type="dxa"/>
          </w:tcPr>
          <w:p w14:paraId="0422C813" w14:textId="77777777" w:rsidR="00F94A78" w:rsidRDefault="00F94A78" w:rsidP="00A774B0">
            <w:pPr>
              <w:cnfStyle w:val="100000000000" w:firstRow="1" w:lastRow="0" w:firstColumn="0" w:lastColumn="0" w:oddVBand="0" w:evenVBand="0" w:oddHBand="0" w:evenHBand="0" w:firstRowFirstColumn="0" w:firstRowLastColumn="0" w:lastRowFirstColumn="0" w:lastRowLastColumn="0"/>
            </w:pPr>
            <w:r>
              <w:t>Second Day B2B</w:t>
            </w:r>
          </w:p>
        </w:tc>
        <w:tc>
          <w:tcPr>
            <w:tcW w:w="1530" w:type="dxa"/>
          </w:tcPr>
          <w:p w14:paraId="456238A6" w14:textId="77777777" w:rsidR="00F94A78" w:rsidRDefault="00F94A78" w:rsidP="00A774B0">
            <w:pPr>
              <w:cnfStyle w:val="100000000000" w:firstRow="1" w:lastRow="0" w:firstColumn="0" w:lastColumn="0" w:oddVBand="0" w:evenVBand="0" w:oddHBand="0" w:evenHBand="0" w:firstRowFirstColumn="0" w:firstRowLastColumn="0" w:lastRowFirstColumn="0" w:lastRowLastColumn="0"/>
            </w:pPr>
            <w:r>
              <w:t>Change</w:t>
            </w:r>
          </w:p>
        </w:tc>
        <w:tc>
          <w:tcPr>
            <w:tcW w:w="1800" w:type="dxa"/>
          </w:tcPr>
          <w:p w14:paraId="13FF3585" w14:textId="3BA29169" w:rsidR="00F94A78" w:rsidRDefault="00F94A78" w:rsidP="00A774B0">
            <w:pPr>
              <w:cnfStyle w:val="100000000000" w:firstRow="1" w:lastRow="0" w:firstColumn="0" w:lastColumn="0" w:oddVBand="0" w:evenVBand="0" w:oddHBand="0" w:evenHBand="0" w:firstRowFirstColumn="0" w:firstRowLastColumn="0" w:lastRowFirstColumn="0" w:lastRowLastColumn="0"/>
            </w:pPr>
            <w:r>
              <w:t>% Margin Change</w:t>
            </w:r>
          </w:p>
        </w:tc>
      </w:tr>
      <w:tr w:rsidR="00F94A78" w14:paraId="26FCBE86" w14:textId="40B4E1BE" w:rsidTr="00F94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7A7DDCD" w14:textId="4A288B04" w:rsidR="00F94A78" w:rsidRDefault="00F94A78" w:rsidP="00A774B0">
            <w:r>
              <w:t>Pts. Off Turnovers</w:t>
            </w:r>
          </w:p>
        </w:tc>
        <w:tc>
          <w:tcPr>
            <w:tcW w:w="1564" w:type="dxa"/>
          </w:tcPr>
          <w:p w14:paraId="5DF4E50D" w14:textId="2FA2C4F1" w:rsidR="00F94A78" w:rsidRDefault="00F94A78" w:rsidP="00A774B0">
            <w:pPr>
              <w:cnfStyle w:val="000000100000" w:firstRow="0" w:lastRow="0" w:firstColumn="0" w:lastColumn="0" w:oddVBand="0" w:evenVBand="0" w:oddHBand="1" w:evenHBand="0" w:firstRowFirstColumn="0" w:firstRowLastColumn="0" w:lastRowFirstColumn="0" w:lastRowLastColumn="0"/>
            </w:pPr>
            <w:r>
              <w:t>12.4</w:t>
            </w:r>
          </w:p>
        </w:tc>
        <w:tc>
          <w:tcPr>
            <w:tcW w:w="1946" w:type="dxa"/>
          </w:tcPr>
          <w:p w14:paraId="17040CED" w14:textId="50B9D310" w:rsidR="00F94A78" w:rsidRDefault="00F94A78" w:rsidP="00A774B0">
            <w:pPr>
              <w:cnfStyle w:val="000000100000" w:firstRow="0" w:lastRow="0" w:firstColumn="0" w:lastColumn="0" w:oddVBand="0" w:evenVBand="0" w:oddHBand="1" w:evenHBand="0" w:firstRowFirstColumn="0" w:firstRowLastColumn="0" w:lastRowFirstColumn="0" w:lastRowLastColumn="0"/>
            </w:pPr>
            <w:r>
              <w:t>12.43</w:t>
            </w:r>
          </w:p>
        </w:tc>
        <w:tc>
          <w:tcPr>
            <w:tcW w:w="1530" w:type="dxa"/>
          </w:tcPr>
          <w:p w14:paraId="1170947A" w14:textId="5200BF37" w:rsidR="00F94A78" w:rsidRDefault="00F94A78" w:rsidP="00A774B0">
            <w:pPr>
              <w:cnfStyle w:val="000000100000" w:firstRow="0" w:lastRow="0" w:firstColumn="0" w:lastColumn="0" w:oddVBand="0" w:evenVBand="0" w:oddHBand="1" w:evenHBand="0" w:firstRowFirstColumn="0" w:firstRowLastColumn="0" w:lastRowFirstColumn="0" w:lastRowLastColumn="0"/>
            </w:pPr>
            <w:r>
              <w:t>-0.03</w:t>
            </w:r>
          </w:p>
        </w:tc>
        <w:tc>
          <w:tcPr>
            <w:tcW w:w="1800" w:type="dxa"/>
          </w:tcPr>
          <w:p w14:paraId="7645193A" w14:textId="1D0CAFD1" w:rsidR="00F94A78" w:rsidRDefault="00F94A78" w:rsidP="00A774B0">
            <w:pPr>
              <w:cnfStyle w:val="000000100000" w:firstRow="0" w:lastRow="0" w:firstColumn="0" w:lastColumn="0" w:oddVBand="0" w:evenVBand="0" w:oddHBand="1" w:evenHBand="0" w:firstRowFirstColumn="0" w:firstRowLastColumn="0" w:lastRowFirstColumn="0" w:lastRowLastColumn="0"/>
            </w:pPr>
            <w:r>
              <w:t>-0.2%</w:t>
            </w:r>
          </w:p>
        </w:tc>
      </w:tr>
      <w:tr w:rsidR="00F94A78" w14:paraId="6C10E374" w14:textId="53E5B2CA" w:rsidTr="00F94A78">
        <w:tc>
          <w:tcPr>
            <w:cnfStyle w:val="001000000000" w:firstRow="0" w:lastRow="0" w:firstColumn="1" w:lastColumn="0" w:oddVBand="0" w:evenVBand="0" w:oddHBand="0" w:evenHBand="0" w:firstRowFirstColumn="0" w:firstRowLastColumn="0" w:lastRowFirstColumn="0" w:lastRowLastColumn="0"/>
            <w:tcW w:w="2088" w:type="dxa"/>
          </w:tcPr>
          <w:p w14:paraId="4925E8FB" w14:textId="32D6C391" w:rsidR="00F94A78" w:rsidRDefault="00F94A78" w:rsidP="00F94A78">
            <w:r>
              <w:t>FG</w:t>
            </w:r>
            <w:r w:rsidR="00ED4A8A">
              <w:t>M</w:t>
            </w:r>
          </w:p>
        </w:tc>
        <w:tc>
          <w:tcPr>
            <w:tcW w:w="1564" w:type="dxa"/>
          </w:tcPr>
          <w:p w14:paraId="4E67B7E7" w14:textId="5E1B38E9" w:rsidR="00F94A78" w:rsidRDefault="00F94A78" w:rsidP="00F94A78">
            <w:pPr>
              <w:cnfStyle w:val="000000000000" w:firstRow="0" w:lastRow="0" w:firstColumn="0" w:lastColumn="0" w:oddVBand="0" w:evenVBand="0" w:oddHBand="0" w:evenHBand="0" w:firstRowFirstColumn="0" w:firstRowLastColumn="0" w:lastRowFirstColumn="0" w:lastRowLastColumn="0"/>
            </w:pPr>
            <w:r>
              <w:t>26.16</w:t>
            </w:r>
          </w:p>
        </w:tc>
        <w:tc>
          <w:tcPr>
            <w:tcW w:w="1946" w:type="dxa"/>
          </w:tcPr>
          <w:p w14:paraId="7C070722" w14:textId="5928719C" w:rsidR="00F94A78" w:rsidRDefault="00F94A78" w:rsidP="00F94A78">
            <w:pPr>
              <w:cnfStyle w:val="000000000000" w:firstRow="0" w:lastRow="0" w:firstColumn="0" w:lastColumn="0" w:oddVBand="0" w:evenVBand="0" w:oddHBand="0" w:evenHBand="0" w:firstRowFirstColumn="0" w:firstRowLastColumn="0" w:lastRowFirstColumn="0" w:lastRowLastColumn="0"/>
            </w:pPr>
            <w:r>
              <w:t>26.05</w:t>
            </w:r>
          </w:p>
        </w:tc>
        <w:tc>
          <w:tcPr>
            <w:tcW w:w="1530" w:type="dxa"/>
          </w:tcPr>
          <w:p w14:paraId="34A9AAF9" w14:textId="05E1DDEF" w:rsidR="00F94A78" w:rsidRDefault="00F94A78" w:rsidP="00F94A78">
            <w:pPr>
              <w:cnfStyle w:val="000000000000" w:firstRow="0" w:lastRow="0" w:firstColumn="0" w:lastColumn="0" w:oddVBand="0" w:evenVBand="0" w:oddHBand="0" w:evenHBand="0" w:firstRowFirstColumn="0" w:firstRowLastColumn="0" w:lastRowFirstColumn="0" w:lastRowLastColumn="0"/>
            </w:pPr>
            <w:r>
              <w:t>-0.11</w:t>
            </w:r>
          </w:p>
        </w:tc>
        <w:tc>
          <w:tcPr>
            <w:tcW w:w="1800" w:type="dxa"/>
          </w:tcPr>
          <w:p w14:paraId="2E08DECD" w14:textId="450BD265" w:rsidR="00F94A78" w:rsidRDefault="00F94A78" w:rsidP="00F94A78">
            <w:pPr>
              <w:cnfStyle w:val="000000000000" w:firstRow="0" w:lastRow="0" w:firstColumn="0" w:lastColumn="0" w:oddVBand="0" w:evenVBand="0" w:oddHBand="0" w:evenHBand="0" w:firstRowFirstColumn="0" w:firstRowLastColumn="0" w:lastRowFirstColumn="0" w:lastRowLastColumn="0"/>
            </w:pPr>
            <w:r>
              <w:t>-0.4%</w:t>
            </w:r>
          </w:p>
        </w:tc>
      </w:tr>
      <w:tr w:rsidR="00F94A78" w14:paraId="5F13B07A" w14:textId="25583C23" w:rsidTr="00F94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EF2C08A" w14:textId="0C54CC5A" w:rsidR="00F94A78" w:rsidRDefault="00F94A78" w:rsidP="00A774B0">
            <w:r>
              <w:t>Points</w:t>
            </w:r>
          </w:p>
        </w:tc>
        <w:tc>
          <w:tcPr>
            <w:tcW w:w="1564" w:type="dxa"/>
          </w:tcPr>
          <w:p w14:paraId="21D16173" w14:textId="76ACE988" w:rsidR="00F94A78" w:rsidRDefault="00F94A78" w:rsidP="00A774B0">
            <w:pPr>
              <w:cnfStyle w:val="000000100000" w:firstRow="0" w:lastRow="0" w:firstColumn="0" w:lastColumn="0" w:oddVBand="0" w:evenVBand="0" w:oddHBand="1" w:evenHBand="0" w:firstRowFirstColumn="0" w:firstRowLastColumn="0" w:lastRowFirstColumn="0" w:lastRowLastColumn="0"/>
            </w:pPr>
            <w:r>
              <w:t>81.79</w:t>
            </w:r>
          </w:p>
        </w:tc>
        <w:tc>
          <w:tcPr>
            <w:tcW w:w="1946" w:type="dxa"/>
          </w:tcPr>
          <w:p w14:paraId="78944128" w14:textId="109625B3" w:rsidR="00F94A78" w:rsidRDefault="00F94A78" w:rsidP="00A774B0">
            <w:pPr>
              <w:cnfStyle w:val="000000100000" w:firstRow="0" w:lastRow="0" w:firstColumn="0" w:lastColumn="0" w:oddVBand="0" w:evenVBand="0" w:oddHBand="1" w:evenHBand="0" w:firstRowFirstColumn="0" w:firstRowLastColumn="0" w:lastRowFirstColumn="0" w:lastRowLastColumn="0"/>
            </w:pPr>
            <w:r>
              <w:t>72.55</w:t>
            </w:r>
          </w:p>
        </w:tc>
        <w:tc>
          <w:tcPr>
            <w:tcW w:w="1530" w:type="dxa"/>
          </w:tcPr>
          <w:p w14:paraId="6A948733" w14:textId="7FCA5F61" w:rsidR="00F94A78" w:rsidRDefault="00F94A78" w:rsidP="00A774B0">
            <w:pPr>
              <w:cnfStyle w:val="000000100000" w:firstRow="0" w:lastRow="0" w:firstColumn="0" w:lastColumn="0" w:oddVBand="0" w:evenVBand="0" w:oddHBand="1" w:evenHBand="0" w:firstRowFirstColumn="0" w:firstRowLastColumn="0" w:lastRowFirstColumn="0" w:lastRowLastColumn="0"/>
            </w:pPr>
            <w:r>
              <w:t>0.76</w:t>
            </w:r>
          </w:p>
        </w:tc>
        <w:tc>
          <w:tcPr>
            <w:tcW w:w="1800" w:type="dxa"/>
          </w:tcPr>
          <w:p w14:paraId="4507C024" w14:textId="7BE87817" w:rsidR="00F94A78" w:rsidRDefault="00F94A78" w:rsidP="00A774B0">
            <w:pPr>
              <w:cnfStyle w:val="000000100000" w:firstRow="0" w:lastRow="0" w:firstColumn="0" w:lastColumn="0" w:oddVBand="0" w:evenVBand="0" w:oddHBand="1" w:evenHBand="0" w:firstRowFirstColumn="0" w:firstRowLastColumn="0" w:lastRowFirstColumn="0" w:lastRowLastColumn="0"/>
            </w:pPr>
            <w:r>
              <w:t>1.1%</w:t>
            </w:r>
          </w:p>
        </w:tc>
      </w:tr>
      <w:tr w:rsidR="00F94A78" w14:paraId="17BB9631" w14:textId="5562EC1C" w:rsidTr="00F94A78">
        <w:tc>
          <w:tcPr>
            <w:cnfStyle w:val="001000000000" w:firstRow="0" w:lastRow="0" w:firstColumn="1" w:lastColumn="0" w:oddVBand="0" w:evenVBand="0" w:oddHBand="0" w:evenHBand="0" w:firstRowFirstColumn="0" w:firstRowLastColumn="0" w:lastRowFirstColumn="0" w:lastRowLastColumn="0"/>
            <w:tcW w:w="2088" w:type="dxa"/>
          </w:tcPr>
          <w:p w14:paraId="11662951" w14:textId="4E6A2D64" w:rsidR="00F94A78" w:rsidRDefault="00F94A78" w:rsidP="00A774B0">
            <w:r>
              <w:t>FG %</w:t>
            </w:r>
          </w:p>
        </w:tc>
        <w:tc>
          <w:tcPr>
            <w:tcW w:w="1564" w:type="dxa"/>
          </w:tcPr>
          <w:p w14:paraId="174BB89C" w14:textId="7E8F86FF" w:rsidR="00F94A78" w:rsidRDefault="00F94A78" w:rsidP="00A774B0">
            <w:pPr>
              <w:cnfStyle w:val="000000000000" w:firstRow="0" w:lastRow="0" w:firstColumn="0" w:lastColumn="0" w:oddVBand="0" w:evenVBand="0" w:oddHBand="0" w:evenHBand="0" w:firstRowFirstColumn="0" w:firstRowLastColumn="0" w:lastRowFirstColumn="0" w:lastRowLastColumn="0"/>
            </w:pPr>
            <w:r>
              <w:t>44.5%</w:t>
            </w:r>
          </w:p>
        </w:tc>
        <w:tc>
          <w:tcPr>
            <w:tcW w:w="1946" w:type="dxa"/>
          </w:tcPr>
          <w:p w14:paraId="4EF5E448" w14:textId="687C1FC2" w:rsidR="00F94A78" w:rsidRDefault="00F94A78" w:rsidP="00A774B0">
            <w:pPr>
              <w:cnfStyle w:val="000000000000" w:firstRow="0" w:lastRow="0" w:firstColumn="0" w:lastColumn="0" w:oddVBand="0" w:evenVBand="0" w:oddHBand="0" w:evenHBand="0" w:firstRowFirstColumn="0" w:firstRowLastColumn="0" w:lastRowFirstColumn="0" w:lastRowLastColumn="0"/>
            </w:pPr>
            <w:r>
              <w:t>45.2%</w:t>
            </w:r>
          </w:p>
        </w:tc>
        <w:tc>
          <w:tcPr>
            <w:tcW w:w="1530" w:type="dxa"/>
          </w:tcPr>
          <w:p w14:paraId="4A436D0E" w14:textId="4D5D456D" w:rsidR="00F94A78" w:rsidRDefault="00F94A78" w:rsidP="00A774B0">
            <w:pPr>
              <w:cnfStyle w:val="000000000000" w:firstRow="0" w:lastRow="0" w:firstColumn="0" w:lastColumn="0" w:oddVBand="0" w:evenVBand="0" w:oddHBand="0" w:evenHBand="0" w:firstRowFirstColumn="0" w:firstRowLastColumn="0" w:lastRowFirstColumn="0" w:lastRowLastColumn="0"/>
            </w:pPr>
            <w:r>
              <w:t>0.7</w:t>
            </w:r>
          </w:p>
        </w:tc>
        <w:tc>
          <w:tcPr>
            <w:tcW w:w="1800" w:type="dxa"/>
          </w:tcPr>
          <w:p w14:paraId="4F08CF81" w14:textId="2EF41AFD" w:rsidR="00F94A78" w:rsidRDefault="00F94A78" w:rsidP="00A774B0">
            <w:pPr>
              <w:cnfStyle w:val="000000000000" w:firstRow="0" w:lastRow="0" w:firstColumn="0" w:lastColumn="0" w:oddVBand="0" w:evenVBand="0" w:oddHBand="0" w:evenHBand="0" w:firstRowFirstColumn="0" w:firstRowLastColumn="0" w:lastRowFirstColumn="0" w:lastRowLastColumn="0"/>
            </w:pPr>
            <w:r>
              <w:t>1.6%</w:t>
            </w:r>
          </w:p>
        </w:tc>
      </w:tr>
      <w:tr w:rsidR="00F94A78" w14:paraId="42BDF5AB" w14:textId="77777777" w:rsidTr="00F94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2302B9B7" w14:textId="258E5A1B" w:rsidR="00F94A78" w:rsidRDefault="00F94A78" w:rsidP="00A774B0">
            <w:r>
              <w:t>3pt FGM</w:t>
            </w:r>
          </w:p>
        </w:tc>
        <w:tc>
          <w:tcPr>
            <w:tcW w:w="1564" w:type="dxa"/>
          </w:tcPr>
          <w:p w14:paraId="3A9B69DD" w14:textId="19B06F8A" w:rsidR="00F94A78" w:rsidRDefault="00F94A78" w:rsidP="00A774B0">
            <w:pPr>
              <w:cnfStyle w:val="000000100000" w:firstRow="0" w:lastRow="0" w:firstColumn="0" w:lastColumn="0" w:oddVBand="0" w:evenVBand="0" w:oddHBand="1" w:evenHBand="0" w:firstRowFirstColumn="0" w:firstRowLastColumn="0" w:lastRowFirstColumn="0" w:lastRowLastColumn="0"/>
            </w:pPr>
            <w:r>
              <w:t>6.61</w:t>
            </w:r>
          </w:p>
        </w:tc>
        <w:tc>
          <w:tcPr>
            <w:tcW w:w="1946" w:type="dxa"/>
          </w:tcPr>
          <w:p w14:paraId="77390897" w14:textId="55A1F62B" w:rsidR="00F94A78" w:rsidRDefault="00F94A78" w:rsidP="00A774B0">
            <w:pPr>
              <w:cnfStyle w:val="000000100000" w:firstRow="0" w:lastRow="0" w:firstColumn="0" w:lastColumn="0" w:oddVBand="0" w:evenVBand="0" w:oddHBand="1" w:evenHBand="0" w:firstRowFirstColumn="0" w:firstRowLastColumn="0" w:lastRowFirstColumn="0" w:lastRowLastColumn="0"/>
            </w:pPr>
            <w:r>
              <w:t>6.50</w:t>
            </w:r>
          </w:p>
        </w:tc>
        <w:tc>
          <w:tcPr>
            <w:tcW w:w="1530" w:type="dxa"/>
          </w:tcPr>
          <w:p w14:paraId="620B89BB" w14:textId="0526BC95" w:rsidR="00F94A78" w:rsidRDefault="00F94A78" w:rsidP="00A774B0">
            <w:pPr>
              <w:cnfStyle w:val="000000100000" w:firstRow="0" w:lastRow="0" w:firstColumn="0" w:lastColumn="0" w:oddVBand="0" w:evenVBand="0" w:oddHBand="1" w:evenHBand="0" w:firstRowFirstColumn="0" w:firstRowLastColumn="0" w:lastRowFirstColumn="0" w:lastRowLastColumn="0"/>
            </w:pPr>
            <w:r>
              <w:t>-0.11</w:t>
            </w:r>
          </w:p>
        </w:tc>
        <w:tc>
          <w:tcPr>
            <w:tcW w:w="1800" w:type="dxa"/>
          </w:tcPr>
          <w:p w14:paraId="6FAFB4F4" w14:textId="2DAC22D4" w:rsidR="00F94A78" w:rsidRDefault="00F94A78" w:rsidP="00A774B0">
            <w:pPr>
              <w:cnfStyle w:val="000000100000" w:firstRow="0" w:lastRow="0" w:firstColumn="0" w:lastColumn="0" w:oddVBand="0" w:evenVBand="0" w:oddHBand="1" w:evenHBand="0" w:firstRowFirstColumn="0" w:firstRowLastColumn="0" w:lastRowFirstColumn="0" w:lastRowLastColumn="0"/>
            </w:pPr>
            <w:r>
              <w:t>-1.7%</w:t>
            </w:r>
          </w:p>
        </w:tc>
      </w:tr>
      <w:tr w:rsidR="00F94A78" w14:paraId="2A830886" w14:textId="77777777" w:rsidTr="00F94A78">
        <w:tc>
          <w:tcPr>
            <w:cnfStyle w:val="001000000000" w:firstRow="0" w:lastRow="0" w:firstColumn="1" w:lastColumn="0" w:oddVBand="0" w:evenVBand="0" w:oddHBand="0" w:evenHBand="0" w:firstRowFirstColumn="0" w:firstRowLastColumn="0" w:lastRowFirstColumn="0" w:lastRowLastColumn="0"/>
            <w:tcW w:w="2088" w:type="dxa"/>
          </w:tcPr>
          <w:p w14:paraId="256BB30A" w14:textId="694AFD31" w:rsidR="00F94A78" w:rsidRDefault="00F94A78" w:rsidP="00A774B0">
            <w:r>
              <w:t>Personal Fouls</w:t>
            </w:r>
          </w:p>
        </w:tc>
        <w:tc>
          <w:tcPr>
            <w:tcW w:w="1564" w:type="dxa"/>
          </w:tcPr>
          <w:p w14:paraId="2FC05948" w14:textId="5DFAEFE6" w:rsidR="00F94A78" w:rsidRDefault="00F94A78" w:rsidP="00A774B0">
            <w:pPr>
              <w:cnfStyle w:val="000000000000" w:firstRow="0" w:lastRow="0" w:firstColumn="0" w:lastColumn="0" w:oddVBand="0" w:evenVBand="0" w:oddHBand="0" w:evenHBand="0" w:firstRowFirstColumn="0" w:firstRowLastColumn="0" w:lastRowFirstColumn="0" w:lastRowLastColumn="0"/>
            </w:pPr>
            <w:r>
              <w:t>17.21</w:t>
            </w:r>
          </w:p>
        </w:tc>
        <w:tc>
          <w:tcPr>
            <w:tcW w:w="1946" w:type="dxa"/>
          </w:tcPr>
          <w:p w14:paraId="012DE00C" w14:textId="0A54F5A2" w:rsidR="00F94A78" w:rsidRDefault="00F94A78" w:rsidP="00A774B0">
            <w:pPr>
              <w:cnfStyle w:val="000000000000" w:firstRow="0" w:lastRow="0" w:firstColumn="0" w:lastColumn="0" w:oddVBand="0" w:evenVBand="0" w:oddHBand="0" w:evenHBand="0" w:firstRowFirstColumn="0" w:firstRowLastColumn="0" w:lastRowFirstColumn="0" w:lastRowLastColumn="0"/>
            </w:pPr>
            <w:r>
              <w:t>16.91</w:t>
            </w:r>
          </w:p>
        </w:tc>
        <w:tc>
          <w:tcPr>
            <w:tcW w:w="1530" w:type="dxa"/>
          </w:tcPr>
          <w:p w14:paraId="57F8EB5F" w14:textId="4FBC5222" w:rsidR="00F94A78" w:rsidRDefault="00F94A78" w:rsidP="00A774B0">
            <w:pPr>
              <w:cnfStyle w:val="000000000000" w:firstRow="0" w:lastRow="0" w:firstColumn="0" w:lastColumn="0" w:oddVBand="0" w:evenVBand="0" w:oddHBand="0" w:evenHBand="0" w:firstRowFirstColumn="0" w:firstRowLastColumn="0" w:lastRowFirstColumn="0" w:lastRowLastColumn="0"/>
            </w:pPr>
            <w:r>
              <w:t>0.3</w:t>
            </w:r>
          </w:p>
        </w:tc>
        <w:tc>
          <w:tcPr>
            <w:tcW w:w="1800" w:type="dxa"/>
          </w:tcPr>
          <w:p w14:paraId="036A9281" w14:textId="7B6030BC" w:rsidR="00F94A78" w:rsidRDefault="00F94A78" w:rsidP="00A774B0">
            <w:pPr>
              <w:cnfStyle w:val="000000000000" w:firstRow="0" w:lastRow="0" w:firstColumn="0" w:lastColumn="0" w:oddVBand="0" w:evenVBand="0" w:oddHBand="0" w:evenHBand="0" w:firstRowFirstColumn="0" w:firstRowLastColumn="0" w:lastRowFirstColumn="0" w:lastRowLastColumn="0"/>
            </w:pPr>
            <w:r>
              <w:t>1.7%</w:t>
            </w:r>
          </w:p>
        </w:tc>
      </w:tr>
      <w:tr w:rsidR="00F94A78" w14:paraId="6470A6A7" w14:textId="77777777" w:rsidTr="00F94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F619867" w14:textId="6B7189EA" w:rsidR="00F94A78" w:rsidRDefault="00F94A78" w:rsidP="00A774B0">
            <w:r>
              <w:t>Points in Paint</w:t>
            </w:r>
          </w:p>
        </w:tc>
        <w:tc>
          <w:tcPr>
            <w:tcW w:w="1564" w:type="dxa"/>
          </w:tcPr>
          <w:p w14:paraId="7E205AE4" w14:textId="289FBFCE" w:rsidR="00F94A78" w:rsidRDefault="00F94A78" w:rsidP="00A774B0">
            <w:pPr>
              <w:cnfStyle w:val="000000100000" w:firstRow="0" w:lastRow="0" w:firstColumn="0" w:lastColumn="0" w:oddVBand="0" w:evenVBand="0" w:oddHBand="1" w:evenHBand="0" w:firstRowFirstColumn="0" w:firstRowLastColumn="0" w:lastRowFirstColumn="0" w:lastRowLastColumn="0"/>
            </w:pPr>
            <w:r>
              <w:t>34.52</w:t>
            </w:r>
          </w:p>
        </w:tc>
        <w:tc>
          <w:tcPr>
            <w:tcW w:w="1946" w:type="dxa"/>
          </w:tcPr>
          <w:p w14:paraId="3A4BD4DD" w14:textId="3658346B" w:rsidR="00F94A78" w:rsidRDefault="00F94A78" w:rsidP="00A774B0">
            <w:pPr>
              <w:cnfStyle w:val="000000100000" w:firstRow="0" w:lastRow="0" w:firstColumn="0" w:lastColumn="0" w:oddVBand="0" w:evenVBand="0" w:oddHBand="1" w:evenHBand="0" w:firstRowFirstColumn="0" w:firstRowLastColumn="0" w:lastRowFirstColumn="0" w:lastRowLastColumn="0"/>
            </w:pPr>
            <w:r>
              <w:t>35.09</w:t>
            </w:r>
          </w:p>
        </w:tc>
        <w:tc>
          <w:tcPr>
            <w:tcW w:w="1530" w:type="dxa"/>
          </w:tcPr>
          <w:p w14:paraId="0A31FBAE" w14:textId="16E43446" w:rsidR="00F94A78" w:rsidRDefault="00F94A78" w:rsidP="00A774B0">
            <w:pPr>
              <w:cnfStyle w:val="000000100000" w:firstRow="0" w:lastRow="0" w:firstColumn="0" w:lastColumn="0" w:oddVBand="0" w:evenVBand="0" w:oddHBand="1" w:evenHBand="0" w:firstRowFirstColumn="0" w:firstRowLastColumn="0" w:lastRowFirstColumn="0" w:lastRowLastColumn="0"/>
            </w:pPr>
            <w:r>
              <w:t>0.57</w:t>
            </w:r>
          </w:p>
        </w:tc>
        <w:tc>
          <w:tcPr>
            <w:tcW w:w="1800" w:type="dxa"/>
          </w:tcPr>
          <w:p w14:paraId="3A90EA13" w14:textId="04B521B4" w:rsidR="00F94A78" w:rsidRDefault="00F94A78" w:rsidP="00A774B0">
            <w:pPr>
              <w:cnfStyle w:val="000000100000" w:firstRow="0" w:lastRow="0" w:firstColumn="0" w:lastColumn="0" w:oddVBand="0" w:evenVBand="0" w:oddHBand="1" w:evenHBand="0" w:firstRowFirstColumn="0" w:firstRowLastColumn="0" w:lastRowFirstColumn="0" w:lastRowLastColumn="0"/>
            </w:pPr>
            <w:r>
              <w:t>1.7%</w:t>
            </w:r>
          </w:p>
        </w:tc>
      </w:tr>
    </w:tbl>
    <w:p w14:paraId="1AEE0DC3" w14:textId="77777777" w:rsidR="004A6FC2" w:rsidRDefault="004A6FC2" w:rsidP="004A6FC2"/>
    <w:p w14:paraId="260E5126" w14:textId="1FF87D5D" w:rsidR="004A6FC2" w:rsidRPr="002815CD" w:rsidRDefault="004A6FC2" w:rsidP="004A6FC2">
      <w:pPr>
        <w:rPr>
          <w:sz w:val="24"/>
          <w:szCs w:val="24"/>
        </w:rPr>
      </w:pPr>
      <w:r w:rsidRPr="002815CD">
        <w:rPr>
          <w:sz w:val="24"/>
          <w:szCs w:val="24"/>
        </w:rPr>
        <w:t>Some metrics remained relatively stable:</w:t>
      </w:r>
    </w:p>
    <w:p w14:paraId="0E4BDE59" w14:textId="77777777" w:rsidR="004A6FC2" w:rsidRPr="002815CD" w:rsidRDefault="004A6FC2" w:rsidP="004A6FC2">
      <w:pPr>
        <w:numPr>
          <w:ilvl w:val="0"/>
          <w:numId w:val="12"/>
        </w:numPr>
        <w:rPr>
          <w:sz w:val="24"/>
          <w:szCs w:val="24"/>
        </w:rPr>
      </w:pPr>
      <w:r w:rsidRPr="002815CD">
        <w:rPr>
          <w:b/>
          <w:bCs/>
          <w:sz w:val="24"/>
          <w:szCs w:val="24"/>
        </w:rPr>
        <w:t>Points</w:t>
      </w:r>
      <w:r w:rsidRPr="002815CD">
        <w:rPr>
          <w:sz w:val="24"/>
          <w:szCs w:val="24"/>
        </w:rPr>
        <w:t xml:space="preserve"> scored saw a minimal increase (+1.1%), despite slight decreases in </w:t>
      </w:r>
      <w:r w:rsidRPr="002815CD">
        <w:rPr>
          <w:b/>
          <w:bCs/>
          <w:sz w:val="24"/>
          <w:szCs w:val="24"/>
        </w:rPr>
        <w:t>FGM (-0.4%)</w:t>
      </w:r>
      <w:r w:rsidRPr="002815CD">
        <w:rPr>
          <w:sz w:val="24"/>
          <w:szCs w:val="24"/>
        </w:rPr>
        <w:t xml:space="preserve"> and </w:t>
      </w:r>
      <w:r w:rsidRPr="002815CD">
        <w:rPr>
          <w:b/>
          <w:bCs/>
          <w:sz w:val="24"/>
          <w:szCs w:val="24"/>
        </w:rPr>
        <w:t>3PT FGM (-1.7%)</w:t>
      </w:r>
      <w:r w:rsidRPr="002815CD">
        <w:rPr>
          <w:sz w:val="24"/>
          <w:szCs w:val="24"/>
        </w:rPr>
        <w:t>.</w:t>
      </w:r>
    </w:p>
    <w:p w14:paraId="0F9DB103" w14:textId="77777777" w:rsidR="004A6FC2" w:rsidRPr="002815CD" w:rsidRDefault="004A6FC2" w:rsidP="004A6FC2">
      <w:pPr>
        <w:numPr>
          <w:ilvl w:val="0"/>
          <w:numId w:val="12"/>
        </w:numPr>
        <w:rPr>
          <w:sz w:val="24"/>
          <w:szCs w:val="24"/>
        </w:rPr>
      </w:pPr>
      <w:r w:rsidRPr="002815CD">
        <w:rPr>
          <w:b/>
          <w:bCs/>
          <w:sz w:val="24"/>
          <w:szCs w:val="24"/>
        </w:rPr>
        <w:t>FG%</w:t>
      </w:r>
      <w:r w:rsidRPr="002815CD">
        <w:rPr>
          <w:sz w:val="24"/>
          <w:szCs w:val="24"/>
        </w:rPr>
        <w:t xml:space="preserve"> and </w:t>
      </w:r>
      <w:r w:rsidRPr="002815CD">
        <w:rPr>
          <w:b/>
          <w:bCs/>
          <w:sz w:val="24"/>
          <w:szCs w:val="24"/>
        </w:rPr>
        <w:t>Points in the Paint</w:t>
      </w:r>
      <w:r w:rsidRPr="002815CD">
        <w:rPr>
          <w:sz w:val="24"/>
          <w:szCs w:val="24"/>
        </w:rPr>
        <w:t xml:space="preserve"> saw modest gains (+1.6% and +1.7% respectively), indicating interior efficiency held up well.</w:t>
      </w:r>
    </w:p>
    <w:p w14:paraId="2F9C67CE" w14:textId="77777777" w:rsidR="004A6FC2" w:rsidRPr="002815CD" w:rsidRDefault="004A6FC2" w:rsidP="004A6FC2">
      <w:pPr>
        <w:numPr>
          <w:ilvl w:val="0"/>
          <w:numId w:val="12"/>
        </w:numPr>
        <w:rPr>
          <w:sz w:val="24"/>
          <w:szCs w:val="24"/>
        </w:rPr>
      </w:pPr>
      <w:r w:rsidRPr="002815CD">
        <w:rPr>
          <w:b/>
          <w:bCs/>
          <w:sz w:val="24"/>
          <w:szCs w:val="24"/>
        </w:rPr>
        <w:t>Personal Fouls</w:t>
      </w:r>
      <w:r w:rsidRPr="002815CD">
        <w:rPr>
          <w:sz w:val="24"/>
          <w:szCs w:val="24"/>
        </w:rPr>
        <w:t xml:space="preserve"> and </w:t>
      </w:r>
      <w:r w:rsidRPr="002815CD">
        <w:rPr>
          <w:b/>
          <w:bCs/>
          <w:sz w:val="24"/>
          <w:szCs w:val="24"/>
        </w:rPr>
        <w:t>Points Off Turnovers</w:t>
      </w:r>
      <w:r w:rsidRPr="002815CD">
        <w:rPr>
          <w:sz w:val="24"/>
          <w:szCs w:val="24"/>
        </w:rPr>
        <w:t xml:space="preserve"> remained nearly flat.</w:t>
      </w:r>
    </w:p>
    <w:p w14:paraId="58CB21D4" w14:textId="4C46EA4B" w:rsidR="00B61636" w:rsidRPr="002815CD" w:rsidRDefault="004A6FC2" w:rsidP="00B61636">
      <w:pPr>
        <w:rPr>
          <w:sz w:val="24"/>
          <w:szCs w:val="24"/>
        </w:rPr>
      </w:pPr>
      <w:r w:rsidRPr="002815CD">
        <w:rPr>
          <w:sz w:val="24"/>
          <w:szCs w:val="24"/>
        </w:rPr>
        <w:lastRenderedPageBreak/>
        <w:t>Overall, these metrics suggest Hobart maintained its core identity and offensive structure in B2B games, even as certain effort-based categories fluctuated.</w:t>
      </w:r>
    </w:p>
    <w:p w14:paraId="33AAC3F3" w14:textId="42E87D2E" w:rsidR="00082D8E" w:rsidRPr="00E351CA" w:rsidRDefault="00082D8E" w:rsidP="00082D8E">
      <w:pPr>
        <w:pStyle w:val="Heading1"/>
        <w:rPr>
          <w:color w:val="4C1078"/>
        </w:rPr>
      </w:pPr>
      <w:r>
        <w:rPr>
          <w:color w:val="4C1078"/>
        </w:rPr>
        <w:t>Conclusion</w:t>
      </w:r>
    </w:p>
    <w:p w14:paraId="297BA86A" w14:textId="6E923E17" w:rsidR="002D5962" w:rsidRPr="002815CD" w:rsidRDefault="002D5962" w:rsidP="002D5962">
      <w:pPr>
        <w:spacing w:before="100" w:beforeAutospacing="1" w:after="100" w:afterAutospacing="1"/>
        <w:rPr>
          <w:rFonts w:ascii="Cambria" w:eastAsia="Times New Roman" w:hAnsi="Cambria" w:cs="Times New Roman"/>
          <w:sz w:val="24"/>
          <w:szCs w:val="24"/>
        </w:rPr>
      </w:pPr>
      <w:r w:rsidRPr="002815CD">
        <w:rPr>
          <w:rFonts w:ascii="Cambria" w:eastAsia="Times New Roman" w:hAnsi="Cambria" w:cs="Times New Roman"/>
          <w:sz w:val="24"/>
          <w:szCs w:val="24"/>
        </w:rPr>
        <w:t xml:space="preserve">The data clearly highlights Hobart Basketball’s ability to rise to the occasion during the second day of back-to-back games. Despite the physical demands and reduced recovery time, the team posted a </w:t>
      </w:r>
      <w:proofErr w:type="gramStart"/>
      <w:r w:rsidRPr="002815CD">
        <w:rPr>
          <w:rFonts w:ascii="Cambria" w:eastAsia="Times New Roman" w:hAnsi="Cambria" w:cs="Times New Roman"/>
          <w:b/>
          <w:bCs/>
          <w:sz w:val="24"/>
          <w:szCs w:val="24"/>
        </w:rPr>
        <w:t>75.0% win</w:t>
      </w:r>
      <w:proofErr w:type="gramEnd"/>
      <w:r w:rsidRPr="002815CD">
        <w:rPr>
          <w:rFonts w:ascii="Cambria" w:eastAsia="Times New Roman" w:hAnsi="Cambria" w:cs="Times New Roman"/>
          <w:b/>
          <w:bCs/>
          <w:sz w:val="24"/>
          <w:szCs w:val="24"/>
        </w:rPr>
        <w:t xml:space="preserve"> rate</w:t>
      </w:r>
      <w:r w:rsidRPr="002815CD">
        <w:rPr>
          <w:rFonts w:ascii="Cambria" w:eastAsia="Times New Roman" w:hAnsi="Cambria" w:cs="Times New Roman"/>
          <w:sz w:val="24"/>
          <w:szCs w:val="24"/>
        </w:rPr>
        <w:t xml:space="preserve"> in these contests — a notable increase from their full-season average of 66.7%.</w:t>
      </w:r>
    </w:p>
    <w:p w14:paraId="07F8C387" w14:textId="77777777" w:rsidR="002D5962" w:rsidRPr="002815CD" w:rsidRDefault="002D5962" w:rsidP="002D5962">
      <w:pPr>
        <w:spacing w:before="100" w:beforeAutospacing="1" w:after="100" w:afterAutospacing="1" w:line="240" w:lineRule="auto"/>
        <w:rPr>
          <w:rFonts w:ascii="Cambria" w:eastAsia="Times New Roman" w:hAnsi="Cambria" w:cs="Times New Roman"/>
          <w:sz w:val="24"/>
          <w:szCs w:val="24"/>
        </w:rPr>
      </w:pPr>
      <w:r w:rsidRPr="002815CD">
        <w:rPr>
          <w:rFonts w:ascii="Cambria" w:eastAsia="Times New Roman" w:hAnsi="Cambria" w:cs="Times New Roman"/>
          <w:sz w:val="24"/>
          <w:szCs w:val="24"/>
        </w:rPr>
        <w:t xml:space="preserve">Key performance indicators such as </w:t>
      </w:r>
      <w:r w:rsidRPr="002815CD">
        <w:rPr>
          <w:rFonts w:ascii="Cambria" w:eastAsia="Times New Roman" w:hAnsi="Cambria" w:cs="Times New Roman"/>
          <w:b/>
          <w:bCs/>
          <w:sz w:val="24"/>
          <w:szCs w:val="24"/>
        </w:rPr>
        <w:t>free throw efficiency</w:t>
      </w:r>
      <w:r w:rsidRPr="002815CD">
        <w:rPr>
          <w:rFonts w:ascii="Cambria" w:eastAsia="Times New Roman" w:hAnsi="Cambria" w:cs="Times New Roman"/>
          <w:sz w:val="24"/>
          <w:szCs w:val="24"/>
        </w:rPr>
        <w:t xml:space="preserve">, </w:t>
      </w:r>
      <w:r w:rsidRPr="002815CD">
        <w:rPr>
          <w:rFonts w:ascii="Cambria" w:eastAsia="Times New Roman" w:hAnsi="Cambria" w:cs="Times New Roman"/>
          <w:b/>
          <w:bCs/>
          <w:sz w:val="24"/>
          <w:szCs w:val="24"/>
        </w:rPr>
        <w:t>three-point shooting</w:t>
      </w:r>
      <w:r w:rsidRPr="002815CD">
        <w:rPr>
          <w:rFonts w:ascii="Cambria" w:eastAsia="Times New Roman" w:hAnsi="Cambria" w:cs="Times New Roman"/>
          <w:sz w:val="24"/>
          <w:szCs w:val="24"/>
        </w:rPr>
        <w:t xml:space="preserve">, </w:t>
      </w:r>
      <w:r w:rsidRPr="002815CD">
        <w:rPr>
          <w:rFonts w:ascii="Cambria" w:eastAsia="Times New Roman" w:hAnsi="Cambria" w:cs="Times New Roman"/>
          <w:b/>
          <w:bCs/>
          <w:sz w:val="24"/>
          <w:szCs w:val="24"/>
        </w:rPr>
        <w:t>bench production</w:t>
      </w:r>
      <w:r w:rsidRPr="002815CD">
        <w:rPr>
          <w:rFonts w:ascii="Cambria" w:eastAsia="Times New Roman" w:hAnsi="Cambria" w:cs="Times New Roman"/>
          <w:sz w:val="24"/>
          <w:szCs w:val="24"/>
        </w:rPr>
        <w:t xml:space="preserve">, and </w:t>
      </w:r>
      <w:r w:rsidRPr="002815CD">
        <w:rPr>
          <w:rFonts w:ascii="Cambria" w:eastAsia="Times New Roman" w:hAnsi="Cambria" w:cs="Times New Roman"/>
          <w:b/>
          <w:bCs/>
          <w:sz w:val="24"/>
          <w:szCs w:val="24"/>
        </w:rPr>
        <w:t>turnover management</w:t>
      </w:r>
      <w:r w:rsidRPr="002815CD">
        <w:rPr>
          <w:rFonts w:ascii="Cambria" w:eastAsia="Times New Roman" w:hAnsi="Cambria" w:cs="Times New Roman"/>
          <w:sz w:val="24"/>
          <w:szCs w:val="24"/>
        </w:rPr>
        <w:t xml:space="preserve"> all improved, demonstrating composure and discipline under fatigue. These trends point to strong </w:t>
      </w:r>
      <w:r w:rsidRPr="002815CD">
        <w:rPr>
          <w:rFonts w:ascii="Cambria" w:eastAsia="Times New Roman" w:hAnsi="Cambria" w:cs="Times New Roman"/>
          <w:b/>
          <w:bCs/>
          <w:sz w:val="24"/>
          <w:szCs w:val="24"/>
        </w:rPr>
        <w:t>preparation, in-game adjustments, and depth across the roster</w:t>
      </w:r>
      <w:r w:rsidRPr="002815CD">
        <w:rPr>
          <w:rFonts w:ascii="Cambria" w:eastAsia="Times New Roman" w:hAnsi="Cambria" w:cs="Times New Roman"/>
          <w:sz w:val="24"/>
          <w:szCs w:val="24"/>
        </w:rPr>
        <w:t>, particularly important when navigating a demanding conference schedule like that of the Liberty League.</w:t>
      </w:r>
    </w:p>
    <w:p w14:paraId="6D71BD6D" w14:textId="77777777" w:rsidR="002D5962" w:rsidRPr="002815CD" w:rsidRDefault="002D5962" w:rsidP="002D5962">
      <w:pPr>
        <w:spacing w:before="100" w:beforeAutospacing="1" w:after="100" w:afterAutospacing="1" w:line="240" w:lineRule="auto"/>
        <w:rPr>
          <w:rFonts w:ascii="Cambria" w:eastAsia="Times New Roman" w:hAnsi="Cambria" w:cs="Times New Roman"/>
          <w:sz w:val="24"/>
          <w:szCs w:val="24"/>
        </w:rPr>
      </w:pPr>
      <w:r w:rsidRPr="002815CD">
        <w:rPr>
          <w:rFonts w:ascii="Cambria" w:eastAsia="Times New Roman" w:hAnsi="Cambria" w:cs="Times New Roman"/>
          <w:sz w:val="24"/>
          <w:szCs w:val="24"/>
        </w:rPr>
        <w:t xml:space="preserve">While some expected declines occurred — notably in </w:t>
      </w:r>
      <w:r w:rsidRPr="002815CD">
        <w:rPr>
          <w:rFonts w:ascii="Cambria" w:eastAsia="Times New Roman" w:hAnsi="Cambria" w:cs="Times New Roman"/>
          <w:b/>
          <w:bCs/>
          <w:sz w:val="24"/>
          <w:szCs w:val="24"/>
        </w:rPr>
        <w:t>blocks</w:t>
      </w:r>
      <w:r w:rsidRPr="002815CD">
        <w:rPr>
          <w:rFonts w:ascii="Cambria" w:eastAsia="Times New Roman" w:hAnsi="Cambria" w:cs="Times New Roman"/>
          <w:sz w:val="24"/>
          <w:szCs w:val="24"/>
        </w:rPr>
        <w:t xml:space="preserve">, </w:t>
      </w:r>
      <w:r w:rsidRPr="002815CD">
        <w:rPr>
          <w:rFonts w:ascii="Cambria" w:eastAsia="Times New Roman" w:hAnsi="Cambria" w:cs="Times New Roman"/>
          <w:b/>
          <w:bCs/>
          <w:sz w:val="24"/>
          <w:szCs w:val="24"/>
        </w:rPr>
        <w:t>steals</w:t>
      </w:r>
      <w:r w:rsidRPr="002815CD">
        <w:rPr>
          <w:rFonts w:ascii="Cambria" w:eastAsia="Times New Roman" w:hAnsi="Cambria" w:cs="Times New Roman"/>
          <w:sz w:val="24"/>
          <w:szCs w:val="24"/>
        </w:rPr>
        <w:t xml:space="preserve">, and </w:t>
      </w:r>
      <w:r w:rsidRPr="002815CD">
        <w:rPr>
          <w:rFonts w:ascii="Cambria" w:eastAsia="Times New Roman" w:hAnsi="Cambria" w:cs="Times New Roman"/>
          <w:b/>
          <w:bCs/>
          <w:sz w:val="24"/>
          <w:szCs w:val="24"/>
        </w:rPr>
        <w:t>rebounding</w:t>
      </w:r>
      <w:r w:rsidRPr="002815CD">
        <w:rPr>
          <w:rFonts w:ascii="Cambria" w:eastAsia="Times New Roman" w:hAnsi="Cambria" w:cs="Times New Roman"/>
          <w:sz w:val="24"/>
          <w:szCs w:val="24"/>
        </w:rPr>
        <w:t xml:space="preserve"> — these were moderate and aligned with typical fatigue-related effects. Importantly, </w:t>
      </w:r>
      <w:r w:rsidRPr="002815CD">
        <w:rPr>
          <w:rFonts w:ascii="Cambria" w:eastAsia="Times New Roman" w:hAnsi="Cambria" w:cs="Times New Roman"/>
          <w:b/>
          <w:bCs/>
          <w:sz w:val="24"/>
          <w:szCs w:val="24"/>
        </w:rPr>
        <w:t>core offensive execution and scoring consistency remained intact</w:t>
      </w:r>
      <w:r w:rsidRPr="002815CD">
        <w:rPr>
          <w:rFonts w:ascii="Cambria" w:eastAsia="Times New Roman" w:hAnsi="Cambria" w:cs="Times New Roman"/>
          <w:sz w:val="24"/>
          <w:szCs w:val="24"/>
        </w:rPr>
        <w:t>, further reinforcing the team’s resilience and identity.</w:t>
      </w:r>
    </w:p>
    <w:p w14:paraId="3F7CDEF5" w14:textId="77777777" w:rsidR="002D5962" w:rsidRPr="002815CD" w:rsidRDefault="002D5962" w:rsidP="002D5962">
      <w:pPr>
        <w:spacing w:before="100" w:beforeAutospacing="1" w:after="100" w:afterAutospacing="1" w:line="240" w:lineRule="auto"/>
        <w:rPr>
          <w:rFonts w:ascii="Cambria" w:eastAsia="Times New Roman" w:hAnsi="Cambria" w:cs="Times New Roman"/>
          <w:sz w:val="24"/>
          <w:szCs w:val="24"/>
        </w:rPr>
      </w:pPr>
      <w:r w:rsidRPr="002815CD">
        <w:rPr>
          <w:rFonts w:ascii="Cambria" w:eastAsia="Times New Roman" w:hAnsi="Cambria" w:cs="Times New Roman"/>
          <w:sz w:val="24"/>
          <w:szCs w:val="24"/>
        </w:rPr>
        <w:t>Ultimately, Hobart’s performance on the second day of back-to-backs was not just sustainable — it was exceptional. This competitive edge offers a strong foundation for postseason success and speaks volumes about the program’s culture, leadership, and overall toughness.</w:t>
      </w:r>
    </w:p>
    <w:p w14:paraId="092A3897" w14:textId="3482271C" w:rsidR="00C40DEF" w:rsidRPr="002815CD" w:rsidRDefault="00C40DEF">
      <w:pPr>
        <w:rPr>
          <w:rFonts w:ascii="Cambria" w:hAnsi="Cambria"/>
        </w:rPr>
      </w:pPr>
    </w:p>
    <w:sectPr w:rsidR="00C40DEF" w:rsidRPr="002815CD"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1D363" w14:textId="77777777" w:rsidR="00360914" w:rsidRDefault="00360914" w:rsidP="00536598">
      <w:pPr>
        <w:spacing w:after="0" w:line="240" w:lineRule="auto"/>
      </w:pPr>
      <w:r>
        <w:separator/>
      </w:r>
    </w:p>
  </w:endnote>
  <w:endnote w:type="continuationSeparator" w:id="0">
    <w:p w14:paraId="25D79245" w14:textId="77777777" w:rsidR="00360914" w:rsidRDefault="00360914" w:rsidP="00536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2D12F" w14:textId="4D33092A" w:rsidR="00536598" w:rsidRDefault="00536598">
    <w:pPr>
      <w:pStyle w:val="Footer"/>
    </w:pPr>
    <w:r>
      <w:rPr>
        <w:noProof/>
      </w:rPr>
      <w:drawing>
        <wp:anchor distT="0" distB="0" distL="114300" distR="114300" simplePos="0" relativeHeight="251659264" behindDoc="0" locked="0" layoutInCell="1" allowOverlap="1" wp14:anchorId="39F373FD" wp14:editId="45CDDEBE">
          <wp:simplePos x="0" y="0"/>
          <wp:positionH relativeFrom="column">
            <wp:posOffset>-844061</wp:posOffset>
          </wp:positionH>
          <wp:positionV relativeFrom="paragraph">
            <wp:posOffset>-114300</wp:posOffset>
          </wp:positionV>
          <wp:extent cx="485775" cy="485775"/>
          <wp:effectExtent l="0" t="0" r="0" b="0"/>
          <wp:wrapNone/>
          <wp:docPr id="2048349490" name="Picture 1" descr="A purple and orang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49490" name="Picture 1" descr="A purple and orange logo&#10;&#10;AI-generated content may be incorrect."/>
                  <pic:cNvPicPr/>
                </pic:nvPicPr>
                <pic:blipFill>
                  <a:blip r:embed="rId1"/>
                  <a:stretch>
                    <a:fillRect/>
                  </a:stretch>
                </pic:blipFill>
                <pic:spPr>
                  <a:xfrm>
                    <a:off x="0" y="0"/>
                    <a:ext cx="485775" cy="4857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9861B" w14:textId="77777777" w:rsidR="00360914" w:rsidRDefault="00360914" w:rsidP="00536598">
      <w:pPr>
        <w:spacing w:after="0" w:line="240" w:lineRule="auto"/>
      </w:pPr>
      <w:r>
        <w:separator/>
      </w:r>
    </w:p>
  </w:footnote>
  <w:footnote w:type="continuationSeparator" w:id="0">
    <w:p w14:paraId="40225E99" w14:textId="77777777" w:rsidR="00360914" w:rsidRDefault="00360914" w:rsidP="005365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814F7E"/>
    <w:multiLevelType w:val="multilevel"/>
    <w:tmpl w:val="CBE2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C4257C"/>
    <w:multiLevelType w:val="multilevel"/>
    <w:tmpl w:val="9738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84D49"/>
    <w:multiLevelType w:val="multilevel"/>
    <w:tmpl w:val="52A4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681867">
    <w:abstractNumId w:val="8"/>
  </w:num>
  <w:num w:numId="2" w16cid:durableId="234709606">
    <w:abstractNumId w:val="6"/>
  </w:num>
  <w:num w:numId="3" w16cid:durableId="2118871335">
    <w:abstractNumId w:val="5"/>
  </w:num>
  <w:num w:numId="4" w16cid:durableId="366371185">
    <w:abstractNumId w:val="4"/>
  </w:num>
  <w:num w:numId="5" w16cid:durableId="849837044">
    <w:abstractNumId w:val="7"/>
  </w:num>
  <w:num w:numId="6" w16cid:durableId="1903442723">
    <w:abstractNumId w:val="3"/>
  </w:num>
  <w:num w:numId="7" w16cid:durableId="656155129">
    <w:abstractNumId w:val="2"/>
  </w:num>
  <w:num w:numId="8" w16cid:durableId="1790007126">
    <w:abstractNumId w:val="1"/>
  </w:num>
  <w:num w:numId="9" w16cid:durableId="1112747992">
    <w:abstractNumId w:val="0"/>
  </w:num>
  <w:num w:numId="10" w16cid:durableId="1225801338">
    <w:abstractNumId w:val="10"/>
  </w:num>
  <w:num w:numId="11" w16cid:durableId="1671836276">
    <w:abstractNumId w:val="11"/>
  </w:num>
  <w:num w:numId="12" w16cid:durableId="2656971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EFC"/>
    <w:rsid w:val="00034616"/>
    <w:rsid w:val="0006063C"/>
    <w:rsid w:val="00082D8E"/>
    <w:rsid w:val="000C0EB3"/>
    <w:rsid w:val="0015074B"/>
    <w:rsid w:val="00235C09"/>
    <w:rsid w:val="002815CD"/>
    <w:rsid w:val="0029639D"/>
    <w:rsid w:val="002C0CB7"/>
    <w:rsid w:val="002D5962"/>
    <w:rsid w:val="00326F90"/>
    <w:rsid w:val="0034285E"/>
    <w:rsid w:val="00351BEE"/>
    <w:rsid w:val="00360914"/>
    <w:rsid w:val="003A2BDA"/>
    <w:rsid w:val="004A6FC2"/>
    <w:rsid w:val="004D4738"/>
    <w:rsid w:val="00536598"/>
    <w:rsid w:val="005962AE"/>
    <w:rsid w:val="00653E8A"/>
    <w:rsid w:val="00725CBE"/>
    <w:rsid w:val="007F2258"/>
    <w:rsid w:val="009464A1"/>
    <w:rsid w:val="009C5578"/>
    <w:rsid w:val="00AA1D8D"/>
    <w:rsid w:val="00B40A8B"/>
    <w:rsid w:val="00B47730"/>
    <w:rsid w:val="00B61636"/>
    <w:rsid w:val="00B753D7"/>
    <w:rsid w:val="00C40DEF"/>
    <w:rsid w:val="00C64AE1"/>
    <w:rsid w:val="00C64F27"/>
    <w:rsid w:val="00C84464"/>
    <w:rsid w:val="00CB0664"/>
    <w:rsid w:val="00D87095"/>
    <w:rsid w:val="00DF7AD2"/>
    <w:rsid w:val="00E24DF6"/>
    <w:rsid w:val="00E564A2"/>
    <w:rsid w:val="00E67FA9"/>
    <w:rsid w:val="00ED4A8A"/>
    <w:rsid w:val="00F94A78"/>
    <w:rsid w:val="00FC2BB5"/>
    <w:rsid w:val="00FC693F"/>
    <w:rsid w:val="00FD1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E98A0B"/>
  <w14:defaultImageDpi w14:val="300"/>
  <w15:docId w15:val="{8D0EE716-F6BF-4848-A9C1-7EC84E75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dTable4-Accent4">
    <w:name w:val="Grid Table 4 Accent 4"/>
    <w:basedOn w:val="TableNormal"/>
    <w:uiPriority w:val="49"/>
    <w:rsid w:val="00DF7AD2"/>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08">
      <w:bodyDiv w:val="1"/>
      <w:marLeft w:val="0"/>
      <w:marRight w:val="0"/>
      <w:marTop w:val="0"/>
      <w:marBottom w:val="0"/>
      <w:divBdr>
        <w:top w:val="none" w:sz="0" w:space="0" w:color="auto"/>
        <w:left w:val="none" w:sz="0" w:space="0" w:color="auto"/>
        <w:bottom w:val="none" w:sz="0" w:space="0" w:color="auto"/>
        <w:right w:val="none" w:sz="0" w:space="0" w:color="auto"/>
      </w:divBdr>
    </w:div>
    <w:div w:id="663241010">
      <w:bodyDiv w:val="1"/>
      <w:marLeft w:val="0"/>
      <w:marRight w:val="0"/>
      <w:marTop w:val="0"/>
      <w:marBottom w:val="0"/>
      <w:divBdr>
        <w:top w:val="none" w:sz="0" w:space="0" w:color="auto"/>
        <w:left w:val="none" w:sz="0" w:space="0" w:color="auto"/>
        <w:bottom w:val="none" w:sz="0" w:space="0" w:color="auto"/>
        <w:right w:val="none" w:sz="0" w:space="0" w:color="auto"/>
      </w:divBdr>
    </w:div>
    <w:div w:id="732700557">
      <w:bodyDiv w:val="1"/>
      <w:marLeft w:val="0"/>
      <w:marRight w:val="0"/>
      <w:marTop w:val="0"/>
      <w:marBottom w:val="0"/>
      <w:divBdr>
        <w:top w:val="none" w:sz="0" w:space="0" w:color="auto"/>
        <w:left w:val="none" w:sz="0" w:space="0" w:color="auto"/>
        <w:bottom w:val="none" w:sz="0" w:space="0" w:color="auto"/>
        <w:right w:val="none" w:sz="0" w:space="0" w:color="auto"/>
      </w:divBdr>
    </w:div>
    <w:div w:id="1121729819">
      <w:bodyDiv w:val="1"/>
      <w:marLeft w:val="0"/>
      <w:marRight w:val="0"/>
      <w:marTop w:val="0"/>
      <w:marBottom w:val="0"/>
      <w:divBdr>
        <w:top w:val="none" w:sz="0" w:space="0" w:color="auto"/>
        <w:left w:val="none" w:sz="0" w:space="0" w:color="auto"/>
        <w:bottom w:val="none" w:sz="0" w:space="0" w:color="auto"/>
        <w:right w:val="none" w:sz="0" w:space="0" w:color="auto"/>
      </w:divBdr>
    </w:div>
    <w:div w:id="1261335538">
      <w:bodyDiv w:val="1"/>
      <w:marLeft w:val="0"/>
      <w:marRight w:val="0"/>
      <w:marTop w:val="0"/>
      <w:marBottom w:val="0"/>
      <w:divBdr>
        <w:top w:val="none" w:sz="0" w:space="0" w:color="auto"/>
        <w:left w:val="none" w:sz="0" w:space="0" w:color="auto"/>
        <w:bottom w:val="none" w:sz="0" w:space="0" w:color="auto"/>
        <w:right w:val="none" w:sz="0" w:space="0" w:color="auto"/>
      </w:divBdr>
    </w:div>
    <w:div w:id="1295334569">
      <w:bodyDiv w:val="1"/>
      <w:marLeft w:val="0"/>
      <w:marRight w:val="0"/>
      <w:marTop w:val="0"/>
      <w:marBottom w:val="0"/>
      <w:divBdr>
        <w:top w:val="none" w:sz="0" w:space="0" w:color="auto"/>
        <w:left w:val="none" w:sz="0" w:space="0" w:color="auto"/>
        <w:bottom w:val="none" w:sz="0" w:space="0" w:color="auto"/>
        <w:right w:val="none" w:sz="0" w:space="0" w:color="auto"/>
      </w:divBdr>
    </w:div>
    <w:div w:id="1572621103">
      <w:bodyDiv w:val="1"/>
      <w:marLeft w:val="0"/>
      <w:marRight w:val="0"/>
      <w:marTop w:val="0"/>
      <w:marBottom w:val="0"/>
      <w:divBdr>
        <w:top w:val="none" w:sz="0" w:space="0" w:color="auto"/>
        <w:left w:val="none" w:sz="0" w:space="0" w:color="auto"/>
        <w:bottom w:val="none" w:sz="0" w:space="0" w:color="auto"/>
        <w:right w:val="none" w:sz="0" w:space="0" w:color="auto"/>
      </w:divBdr>
    </w:div>
    <w:div w:id="1923224651">
      <w:bodyDiv w:val="1"/>
      <w:marLeft w:val="0"/>
      <w:marRight w:val="0"/>
      <w:marTop w:val="0"/>
      <w:marBottom w:val="0"/>
      <w:divBdr>
        <w:top w:val="none" w:sz="0" w:space="0" w:color="auto"/>
        <w:left w:val="none" w:sz="0" w:space="0" w:color="auto"/>
        <w:bottom w:val="none" w:sz="0" w:space="0" w:color="auto"/>
        <w:right w:val="none" w:sz="0" w:space="0" w:color="auto"/>
      </w:divBdr>
    </w:div>
    <w:div w:id="2064323853">
      <w:bodyDiv w:val="1"/>
      <w:marLeft w:val="0"/>
      <w:marRight w:val="0"/>
      <w:marTop w:val="0"/>
      <w:marBottom w:val="0"/>
      <w:divBdr>
        <w:top w:val="none" w:sz="0" w:space="0" w:color="auto"/>
        <w:left w:val="none" w:sz="0" w:space="0" w:color="auto"/>
        <w:bottom w:val="none" w:sz="0" w:space="0" w:color="auto"/>
        <w:right w:val="none" w:sz="0" w:space="0" w:color="auto"/>
      </w:divBdr>
    </w:div>
    <w:div w:id="2142531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Charles Bertram Garrett IV</cp:lastModifiedBy>
  <cp:revision>39</cp:revision>
  <dcterms:created xsi:type="dcterms:W3CDTF">2013-12-23T23:15:00Z</dcterms:created>
  <dcterms:modified xsi:type="dcterms:W3CDTF">2025-04-17T14:29:00Z</dcterms:modified>
  <cp:category/>
</cp:coreProperties>
</file>