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A51F5" w14:textId="5C33F682" w:rsidR="00D36310" w:rsidRPr="00E351CA" w:rsidRDefault="00000000">
      <w:pPr>
        <w:pStyle w:val="Title"/>
        <w:rPr>
          <w:color w:val="4C1078"/>
        </w:rPr>
      </w:pPr>
      <w:r w:rsidRPr="00E351CA">
        <w:rPr>
          <w:color w:val="4C1078"/>
        </w:rPr>
        <w:t xml:space="preserve">Hobart Basketball </w:t>
      </w:r>
      <w:r w:rsidR="003E735A">
        <w:rPr>
          <w:color w:val="4C1078"/>
        </w:rPr>
        <w:t>Statistical Identity</w:t>
      </w:r>
      <w:r w:rsidRPr="00E351CA">
        <w:rPr>
          <w:color w:val="4C1078"/>
        </w:rPr>
        <w:t xml:space="preserve"> (2019–2025)</w:t>
      </w:r>
    </w:p>
    <w:p w14:paraId="63D6F2AD" w14:textId="77777777" w:rsidR="00D36310" w:rsidRPr="00E351CA" w:rsidRDefault="00000000">
      <w:pPr>
        <w:pStyle w:val="Heading1"/>
        <w:rPr>
          <w:color w:val="4C1078"/>
        </w:rPr>
      </w:pPr>
      <w:r w:rsidRPr="00E351CA">
        <w:rPr>
          <w:color w:val="4C1078"/>
        </w:rPr>
        <w:t>Executive Summary</w:t>
      </w:r>
    </w:p>
    <w:p w14:paraId="1C6474A4" w14:textId="469B9BC8" w:rsidR="00AD1D31" w:rsidRPr="009B2B53" w:rsidRDefault="00AD1D31" w:rsidP="00AD1D31">
      <w:pPr>
        <w:rPr>
          <w:sz w:val="24"/>
          <w:szCs w:val="24"/>
        </w:rPr>
      </w:pPr>
      <w:r w:rsidRPr="009B2B53">
        <w:rPr>
          <w:sz w:val="24"/>
          <w:szCs w:val="24"/>
        </w:rPr>
        <w:t xml:space="preserve">This next chapter provides a deeper understanding of the numbers behind Hobart Basketball. </w:t>
      </w:r>
      <w:r w:rsidR="009B2B53">
        <w:rPr>
          <w:sz w:val="24"/>
          <w:szCs w:val="24"/>
        </w:rPr>
        <w:t>A</w:t>
      </w:r>
      <w:r w:rsidRPr="009B2B53">
        <w:rPr>
          <w:sz w:val="24"/>
          <w:szCs w:val="24"/>
        </w:rPr>
        <w:t xml:space="preserve"> box score contains </w:t>
      </w:r>
      <w:r w:rsidR="009B2B53">
        <w:rPr>
          <w:sz w:val="24"/>
          <w:szCs w:val="24"/>
        </w:rPr>
        <w:t>20</w:t>
      </w:r>
      <w:r w:rsidRPr="009B2B53">
        <w:rPr>
          <w:sz w:val="24"/>
          <w:szCs w:val="24"/>
        </w:rPr>
        <w:t>+ statistical categories that offer insight into how a game unfolded. While a box score can highlight areas where a team performed well or struggled, it often fails to capture the full identity of a team. For any meaningful analysis, it's essential to compile data over time and identify consistent trends.</w:t>
      </w:r>
    </w:p>
    <w:p w14:paraId="54DB6AD4" w14:textId="42BA0900" w:rsidR="00AD1D31" w:rsidRPr="009B2B53" w:rsidRDefault="00AD1D31" w:rsidP="00AD1D31">
      <w:pPr>
        <w:rPr>
          <w:sz w:val="24"/>
          <w:szCs w:val="24"/>
        </w:rPr>
      </w:pPr>
      <w:r w:rsidRPr="009B2B53">
        <w:rPr>
          <w:sz w:val="24"/>
          <w:szCs w:val="24"/>
        </w:rPr>
        <w:t xml:space="preserve">The goal of the following sections is to extract data </w:t>
      </w:r>
      <w:r w:rsidR="00795F37">
        <w:rPr>
          <w:sz w:val="24"/>
          <w:szCs w:val="24"/>
        </w:rPr>
        <w:t>over the past five seasons for</w:t>
      </w:r>
      <w:r w:rsidRPr="009B2B53">
        <w:rPr>
          <w:sz w:val="24"/>
          <w:szCs w:val="24"/>
        </w:rPr>
        <w:t xml:space="preserve"> Hobart Basketball</w:t>
      </w:r>
      <w:r w:rsidR="00795F37">
        <w:rPr>
          <w:sz w:val="24"/>
          <w:szCs w:val="24"/>
        </w:rPr>
        <w:t xml:space="preserve">, </w:t>
      </w:r>
      <w:r w:rsidRPr="009B2B53">
        <w:rPr>
          <w:sz w:val="24"/>
          <w:szCs w:val="24"/>
        </w:rPr>
        <w:t>and uncover the core tendencies and identity of the program.</w:t>
      </w:r>
      <w:r w:rsidR="009B2B53" w:rsidRPr="009B2B53">
        <w:rPr>
          <w:sz w:val="24"/>
          <w:szCs w:val="24"/>
        </w:rPr>
        <w:t xml:space="preserve"> </w:t>
      </w:r>
      <w:r w:rsidR="009B2B53" w:rsidRPr="009B2B53">
        <w:rPr>
          <w:sz w:val="24"/>
          <w:szCs w:val="24"/>
        </w:rPr>
        <w:t>Insights are supported with graphics for clarity and professional presentation.</w:t>
      </w:r>
    </w:p>
    <w:p w14:paraId="46342A95" w14:textId="581B9E00" w:rsidR="00E351CA" w:rsidRPr="00E351CA" w:rsidRDefault="00E351CA">
      <w:pPr>
        <w:rPr>
          <w:i/>
          <w:iCs/>
          <w:color w:val="BFBFBF" w:themeColor="background1" w:themeShade="BF"/>
        </w:rPr>
      </w:pPr>
      <w:r w:rsidRPr="00E351CA">
        <w:rPr>
          <w:i/>
          <w:iCs/>
          <w:color w:val="BFBFBF" w:themeColor="background1" w:themeShade="BF"/>
        </w:rPr>
        <w:t xml:space="preserve">*These graphs were made with the assistance of </w:t>
      </w:r>
      <w:proofErr w:type="spellStart"/>
      <w:r w:rsidRPr="00E351CA">
        <w:rPr>
          <w:i/>
          <w:iCs/>
          <w:color w:val="BFBFBF" w:themeColor="background1" w:themeShade="BF"/>
        </w:rPr>
        <w:t>TheBricks</w:t>
      </w:r>
      <w:proofErr w:type="spellEnd"/>
      <w:r w:rsidR="009B2B53">
        <w:rPr>
          <w:i/>
          <w:iCs/>
          <w:color w:val="BFBFBF" w:themeColor="background1" w:themeShade="BF"/>
        </w:rPr>
        <w:t>.</w:t>
      </w:r>
    </w:p>
    <w:p w14:paraId="6036B1C2" w14:textId="0C6221CA" w:rsidR="00D36310" w:rsidRDefault="00000000">
      <w:pPr>
        <w:pStyle w:val="Heading1"/>
        <w:rPr>
          <w:color w:val="F25E16"/>
        </w:rPr>
      </w:pPr>
      <w:r w:rsidRPr="00E351CA">
        <w:rPr>
          <w:color w:val="F25E16"/>
        </w:rPr>
        <w:t xml:space="preserve">1. </w:t>
      </w:r>
      <w:r w:rsidR="00A37FAE">
        <w:rPr>
          <w:color w:val="F25E16"/>
        </w:rPr>
        <w:t>The Data</w:t>
      </w:r>
    </w:p>
    <w:p w14:paraId="06BF9FAB" w14:textId="32A221DF" w:rsidR="003E735A" w:rsidRPr="009B2B53" w:rsidRDefault="003E735A" w:rsidP="006A4870">
      <w:pPr>
        <w:rPr>
          <w:sz w:val="24"/>
          <w:szCs w:val="24"/>
        </w:rPr>
      </w:pPr>
      <w:r w:rsidRPr="009B2B53">
        <w:rPr>
          <w:sz w:val="24"/>
          <w:szCs w:val="24"/>
        </w:rPr>
        <w:t xml:space="preserve">Starting with data, we can see three tables, broken down into multiple columns </w:t>
      </w:r>
      <w:r w:rsidR="00B44E93" w:rsidRPr="009B2B53">
        <w:rPr>
          <w:sz w:val="24"/>
          <w:szCs w:val="24"/>
        </w:rPr>
        <w:t>you can</w:t>
      </w:r>
      <w:r w:rsidRPr="009B2B53">
        <w:rPr>
          <w:sz w:val="24"/>
          <w:szCs w:val="24"/>
        </w:rPr>
        <w:t xml:space="preserve"> find on a box score PDF after a competition.</w:t>
      </w:r>
      <w:r w:rsidR="00B44E93" w:rsidRPr="009B2B53">
        <w:rPr>
          <w:sz w:val="24"/>
          <w:szCs w:val="24"/>
        </w:rPr>
        <w:t xml:space="preserve"> Building upon the traditional box score, we can showcase the “margins” of each statistic</w:t>
      </w:r>
      <w:r w:rsidRPr="009B2B53">
        <w:rPr>
          <w:sz w:val="24"/>
          <w:szCs w:val="24"/>
        </w:rPr>
        <w:t>.</w:t>
      </w:r>
      <w:r w:rsidR="00685C1A" w:rsidRPr="009B2B53">
        <w:rPr>
          <w:sz w:val="24"/>
          <w:szCs w:val="24"/>
        </w:rPr>
        <w:t xml:space="preserve"> The numbers below </w:t>
      </w:r>
      <w:r w:rsidR="000D119B" w:rsidRPr="009B2B53">
        <w:rPr>
          <w:sz w:val="24"/>
          <w:szCs w:val="24"/>
        </w:rPr>
        <w:t>are</w:t>
      </w:r>
      <w:r w:rsidR="00685C1A" w:rsidRPr="009B2B53">
        <w:rPr>
          <w:sz w:val="24"/>
          <w:szCs w:val="24"/>
        </w:rPr>
        <w:t xml:space="preserve"> the average</w:t>
      </w:r>
      <w:r w:rsidR="000D119B" w:rsidRPr="009B2B53">
        <w:rPr>
          <w:sz w:val="24"/>
          <w:szCs w:val="24"/>
        </w:rPr>
        <w:t>s</w:t>
      </w:r>
      <w:r w:rsidR="00685C1A" w:rsidRPr="009B2B53">
        <w:rPr>
          <w:sz w:val="24"/>
          <w:szCs w:val="24"/>
        </w:rPr>
        <w:t xml:space="preserve"> for both Hobart and their opponents over the past 5 seasons.</w:t>
      </w:r>
    </w:p>
    <w:p w14:paraId="38F3BC12" w14:textId="0DDFA144" w:rsidR="003E735A" w:rsidRDefault="003E735A" w:rsidP="006A4870">
      <w:pPr>
        <w:sectPr w:rsidR="003E735A" w:rsidSect="00034616">
          <w:footerReference w:type="default" r:id="rId8"/>
          <w:pgSz w:w="12240" w:h="15840"/>
          <w:pgMar w:top="1440" w:right="1800" w:bottom="1440" w:left="1800" w:header="720" w:footer="720" w:gutter="0"/>
          <w:cols w:space="720"/>
          <w:docGrid w:linePitch="360"/>
        </w:sectPr>
      </w:pPr>
    </w:p>
    <w:p w14:paraId="642CF127" w14:textId="2B2C40A8" w:rsidR="009B2B53" w:rsidRPr="003E735A" w:rsidRDefault="006A4870" w:rsidP="006A4870">
      <w:pPr>
        <w:rPr>
          <w:i/>
          <w:iCs/>
        </w:rPr>
      </w:pPr>
      <w:r w:rsidRPr="003E735A">
        <w:rPr>
          <w:i/>
          <w:iCs/>
        </w:rPr>
        <w:t>Core Scoring Stats</w:t>
      </w:r>
    </w:p>
    <w:tbl>
      <w:tblPr>
        <w:tblW w:w="0" w:type="auto"/>
        <w:tblCellMar>
          <w:left w:w="0" w:type="dxa"/>
          <w:right w:w="0" w:type="dxa"/>
        </w:tblCellMar>
        <w:tblLook w:val="04A0" w:firstRow="1" w:lastRow="0" w:firstColumn="1" w:lastColumn="0" w:noHBand="0" w:noVBand="1"/>
      </w:tblPr>
      <w:tblGrid>
        <w:gridCol w:w="896"/>
        <w:gridCol w:w="496"/>
        <w:gridCol w:w="496"/>
        <w:gridCol w:w="737"/>
        <w:gridCol w:w="1185"/>
      </w:tblGrid>
      <w:tr w:rsidR="006A4870" w:rsidRPr="006A4870" w14:paraId="74EA97C8" w14:textId="77777777" w:rsidTr="006A4870">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4408C7A"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Stat</w:t>
            </w:r>
          </w:p>
        </w:tc>
        <w:tc>
          <w:tcPr>
            <w:tcW w:w="3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59E6EF"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HOB</w:t>
            </w:r>
          </w:p>
        </w:tc>
        <w:tc>
          <w:tcPr>
            <w:tcW w:w="3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FD24A9"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OPP</w:t>
            </w:r>
          </w:p>
        </w:tc>
        <w:tc>
          <w:tcPr>
            <w:tcW w:w="6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7425F6"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MARGIN</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E11B8C"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 MARGIN DIFF</w:t>
            </w:r>
          </w:p>
        </w:tc>
      </w:tr>
      <w:tr w:rsidR="006A4870" w:rsidRPr="006A4870" w14:paraId="02342FBA" w14:textId="77777777" w:rsidTr="006A4870">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CDD043"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avg_points</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B76E1"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71.79</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C55BA"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66.67</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19F0E"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5.12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FC34D"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7.70%</w:t>
            </w:r>
          </w:p>
        </w:tc>
      </w:tr>
      <w:tr w:rsidR="006A4870" w:rsidRPr="006A4870" w14:paraId="6D4AE969" w14:textId="77777777" w:rsidTr="006A4870">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17A260"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avg_fgm</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D125F"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26.16</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69AA9"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24.16</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7F832"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2.0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975D9"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8.30%</w:t>
            </w:r>
          </w:p>
        </w:tc>
      </w:tr>
      <w:tr w:rsidR="006A4870" w:rsidRPr="006A4870" w14:paraId="45179E9A" w14:textId="77777777" w:rsidTr="006A4870">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E94A6B"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avg_fga</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8CCA7"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58.81</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FFE27"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58.47</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6160E"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0.34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8E289"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0.60%</w:t>
            </w:r>
          </w:p>
        </w:tc>
      </w:tr>
      <w:tr w:rsidR="006A4870" w:rsidRPr="006A4870" w14:paraId="0E7362B1" w14:textId="77777777" w:rsidTr="006A4870">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2C44F3"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fg_pct</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DF14C"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0.445</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FED457"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0.413</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4DE60"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0.032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401BC" w14:textId="1F1ABCB8" w:rsidR="006A4870" w:rsidRPr="006A4870" w:rsidRDefault="00227DDD" w:rsidP="006A4870">
            <w:pPr>
              <w:spacing w:after="0" w:line="240" w:lineRule="auto"/>
              <w:rPr>
                <w:rFonts w:ascii="Times New Roman" w:eastAsia="Times New Roman" w:hAnsi="Times New Roman" w:cs="Times New Roman"/>
                <w:sz w:val="24"/>
                <w:szCs w:val="24"/>
              </w:rPr>
            </w:pPr>
            <w:r>
              <w:rPr>
                <w:rFonts w:ascii="Helvetica Neue" w:eastAsia="Times New Roman" w:hAnsi="Helvetica Neue" w:cs="Times New Roman"/>
                <w:color w:val="000000"/>
                <w:sz w:val="15"/>
                <w:szCs w:val="15"/>
              </w:rPr>
              <w:t>7</w:t>
            </w:r>
            <w:r w:rsidR="006A4870" w:rsidRPr="006A4870">
              <w:rPr>
                <w:rFonts w:ascii="Helvetica Neue" w:eastAsia="Times New Roman" w:hAnsi="Helvetica Neue" w:cs="Times New Roman"/>
                <w:color w:val="000000"/>
                <w:sz w:val="15"/>
                <w:szCs w:val="15"/>
              </w:rPr>
              <w:t>.7</w:t>
            </w:r>
            <w:r>
              <w:rPr>
                <w:rFonts w:ascii="Helvetica Neue" w:eastAsia="Times New Roman" w:hAnsi="Helvetica Neue" w:cs="Times New Roman"/>
                <w:color w:val="000000"/>
                <w:sz w:val="15"/>
                <w:szCs w:val="15"/>
              </w:rPr>
              <w:t>5</w:t>
            </w:r>
            <w:r w:rsidR="006A4870" w:rsidRPr="006A4870">
              <w:rPr>
                <w:rFonts w:ascii="Helvetica Neue" w:eastAsia="Times New Roman" w:hAnsi="Helvetica Neue" w:cs="Times New Roman"/>
                <w:color w:val="000000"/>
                <w:sz w:val="15"/>
                <w:szCs w:val="15"/>
              </w:rPr>
              <w:t>%</w:t>
            </w:r>
          </w:p>
        </w:tc>
      </w:tr>
      <w:tr w:rsidR="006A4870" w:rsidRPr="006A4870" w14:paraId="49E95FD4" w14:textId="77777777" w:rsidTr="006A4870">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9DC829"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avg_fgm3</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4BF02"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6.61</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F0A225"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6.7</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92700"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-0.09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A28BA"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-1.30%</w:t>
            </w:r>
          </w:p>
        </w:tc>
      </w:tr>
      <w:tr w:rsidR="006A4870" w:rsidRPr="006A4870" w14:paraId="0B9BD41F" w14:textId="77777777" w:rsidTr="006A4870">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0E3663"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avg_fga3</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93CCB"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20.26</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E26DE"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21.7</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5D470"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-1.44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3929A"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-6.60%</w:t>
            </w:r>
          </w:p>
        </w:tc>
      </w:tr>
      <w:tr w:rsidR="006A4870" w:rsidRPr="006A4870" w14:paraId="1785918F" w14:textId="77777777" w:rsidTr="006A4870">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25693F"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fg3_pct</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39ABC"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0.326</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3FA15"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0.309</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DE506"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0.017</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7F882"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5.50%</w:t>
            </w:r>
          </w:p>
        </w:tc>
      </w:tr>
      <w:tr w:rsidR="006A4870" w:rsidRPr="006A4870" w14:paraId="3AC71883" w14:textId="77777777" w:rsidTr="006A4870">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2DD7DD"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avg_ftm</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F2CF9"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12.87</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D37AF"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11.65</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DE547"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1.22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1B12E"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10.50%</w:t>
            </w:r>
          </w:p>
        </w:tc>
      </w:tr>
      <w:tr w:rsidR="006A4870" w:rsidRPr="006A4870" w14:paraId="6A5D902B" w14:textId="77777777" w:rsidTr="006A4870">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043B86"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avg_fta</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C46AA"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18.87</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FD06F"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16.93</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C19A7"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1.94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0E1A8"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11.50%</w:t>
            </w:r>
          </w:p>
        </w:tc>
      </w:tr>
      <w:tr w:rsidR="006A4870" w:rsidRPr="006A4870" w14:paraId="770D6E72" w14:textId="77777777" w:rsidTr="006A4870">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70ACEC"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ft_pct</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69168"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0.682</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51B0C"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0.688</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B7427"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-0.006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3B902"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-0.90%</w:t>
            </w:r>
          </w:p>
        </w:tc>
      </w:tr>
    </w:tbl>
    <w:p w14:paraId="74F3FB0B" w14:textId="77777777" w:rsidR="007F2255" w:rsidRDefault="007F2255" w:rsidP="006A4870">
      <w:pPr>
        <w:rPr>
          <w:i/>
          <w:iCs/>
        </w:rPr>
      </w:pPr>
    </w:p>
    <w:p w14:paraId="57A1F28F" w14:textId="6C4A2ED8" w:rsidR="006A4870" w:rsidRPr="003E735A" w:rsidRDefault="006A4870" w:rsidP="006A4870">
      <w:pPr>
        <w:rPr>
          <w:i/>
          <w:iCs/>
        </w:rPr>
      </w:pPr>
      <w:r w:rsidRPr="003E735A">
        <w:rPr>
          <w:i/>
          <w:iCs/>
        </w:rPr>
        <w:t>Possession &amp; Rebounding</w:t>
      </w:r>
    </w:p>
    <w:tbl>
      <w:tblPr>
        <w:tblW w:w="0" w:type="auto"/>
        <w:tblCellMar>
          <w:left w:w="0" w:type="dxa"/>
          <w:right w:w="0" w:type="dxa"/>
        </w:tblCellMar>
        <w:tblLook w:val="04A0" w:firstRow="1" w:lastRow="0" w:firstColumn="1" w:lastColumn="0" w:noHBand="0" w:noVBand="1"/>
      </w:tblPr>
      <w:tblGrid>
        <w:gridCol w:w="779"/>
        <w:gridCol w:w="496"/>
        <w:gridCol w:w="496"/>
        <w:gridCol w:w="737"/>
        <w:gridCol w:w="1185"/>
      </w:tblGrid>
      <w:tr w:rsidR="006A4870" w:rsidRPr="006A4870" w14:paraId="71C20207" w14:textId="77777777" w:rsidTr="006A4870">
        <w:trPr>
          <w:trHeight w:val="165"/>
        </w:trPr>
        <w:tc>
          <w:tcPr>
            <w:tcW w:w="6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88A40F"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Stat</w:t>
            </w:r>
          </w:p>
        </w:tc>
        <w:tc>
          <w:tcPr>
            <w:tcW w:w="3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80ACF02"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HOB</w:t>
            </w:r>
          </w:p>
        </w:tc>
        <w:tc>
          <w:tcPr>
            <w:tcW w:w="3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B4475B"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OPP</w:t>
            </w:r>
          </w:p>
        </w:tc>
        <w:tc>
          <w:tcPr>
            <w:tcW w:w="6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2260C6"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MARGIN</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DE7695E"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 MARGIN DIFF</w:t>
            </w:r>
          </w:p>
        </w:tc>
      </w:tr>
      <w:tr w:rsidR="006A4870" w:rsidRPr="006A4870" w14:paraId="5F64953E" w14:textId="77777777" w:rsidTr="006A4870">
        <w:trPr>
          <w:trHeight w:val="180"/>
        </w:trPr>
        <w:tc>
          <w:tcPr>
            <w:tcW w:w="6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D4C04D"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avg_oreb</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22A42"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11.63</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BE91E"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8.53</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ACDC8"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3.1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5601A"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36.30%</w:t>
            </w:r>
          </w:p>
        </w:tc>
      </w:tr>
      <w:tr w:rsidR="006A4870" w:rsidRPr="006A4870" w14:paraId="3E2251AD" w14:textId="77777777" w:rsidTr="006A4870">
        <w:trPr>
          <w:trHeight w:val="165"/>
        </w:trPr>
        <w:tc>
          <w:tcPr>
            <w:tcW w:w="6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BE5686"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avg_dreb</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A14D8"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28.13</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E64DB"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23.1</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FFCD9"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5.03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4021F"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21.80%</w:t>
            </w:r>
          </w:p>
        </w:tc>
      </w:tr>
      <w:tr w:rsidR="006A4870" w:rsidRPr="006A4870" w14:paraId="690E315A" w14:textId="77777777" w:rsidTr="006A4870">
        <w:trPr>
          <w:trHeight w:val="165"/>
        </w:trPr>
        <w:tc>
          <w:tcPr>
            <w:tcW w:w="6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A441C6"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avg_reb</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C204C"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39.76</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FD582"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31.64</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EA428"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8.12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4C7AC2"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25.70%</w:t>
            </w:r>
          </w:p>
        </w:tc>
      </w:tr>
      <w:tr w:rsidR="006A4870" w:rsidRPr="006A4870" w14:paraId="3FE8136F" w14:textId="77777777" w:rsidTr="006A4870">
        <w:trPr>
          <w:trHeight w:val="165"/>
        </w:trPr>
        <w:tc>
          <w:tcPr>
            <w:tcW w:w="6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883178"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avg_ast</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EB863"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12.76</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4881A"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11.31</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63AFE"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1.45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1EB2F"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12.80%</w:t>
            </w:r>
          </w:p>
        </w:tc>
      </w:tr>
      <w:tr w:rsidR="006A4870" w:rsidRPr="006A4870" w14:paraId="4FD0262A" w14:textId="77777777" w:rsidTr="006A4870">
        <w:trPr>
          <w:trHeight w:val="165"/>
        </w:trPr>
        <w:tc>
          <w:tcPr>
            <w:tcW w:w="6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3E6D5A"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avg_stl</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60258"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5.81</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4ABFC"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6.76</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696FF"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-0.95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DB942C"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-14.10%</w:t>
            </w:r>
          </w:p>
        </w:tc>
      </w:tr>
      <w:tr w:rsidR="006A4870" w:rsidRPr="006A4870" w14:paraId="2FD84376" w14:textId="77777777" w:rsidTr="006A4870">
        <w:trPr>
          <w:trHeight w:val="165"/>
        </w:trPr>
        <w:tc>
          <w:tcPr>
            <w:tcW w:w="6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54EC5A"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avg_blk</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C2364"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2.9</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E6A658"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3.42</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850EB"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-0.52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4FDC5"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-15.20%</w:t>
            </w:r>
          </w:p>
        </w:tc>
      </w:tr>
      <w:tr w:rsidR="006A4870" w:rsidRPr="006A4870" w14:paraId="5577F014" w14:textId="77777777" w:rsidTr="006A4870">
        <w:trPr>
          <w:trHeight w:val="165"/>
        </w:trPr>
        <w:tc>
          <w:tcPr>
            <w:tcW w:w="6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A0D7FE"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avg_pf</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AE1BF"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17.21</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3383F"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17.44</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1BD41"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0.23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61D88"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1.30%</w:t>
            </w:r>
          </w:p>
        </w:tc>
      </w:tr>
      <w:tr w:rsidR="006A4870" w:rsidRPr="006A4870" w14:paraId="4CA2BC59" w14:textId="77777777" w:rsidTr="006A4870">
        <w:trPr>
          <w:trHeight w:val="165"/>
        </w:trPr>
        <w:tc>
          <w:tcPr>
            <w:tcW w:w="66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421670"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avg_to</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3CB77"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13.7</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1429D"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11.68</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54538"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-2.02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D5A6C"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-17.30%</w:t>
            </w:r>
          </w:p>
        </w:tc>
      </w:tr>
    </w:tbl>
    <w:p w14:paraId="5144C3B2" w14:textId="77777777" w:rsidR="006A4870" w:rsidRDefault="006A4870">
      <w:pPr>
        <w:sectPr w:rsidR="006A4870" w:rsidSect="006A4870">
          <w:type w:val="continuous"/>
          <w:pgSz w:w="12240" w:h="15840"/>
          <w:pgMar w:top="1440" w:right="1800" w:bottom="1440" w:left="1800" w:header="720" w:footer="720" w:gutter="0"/>
          <w:cols w:num="2" w:space="720"/>
          <w:docGrid w:linePitch="360"/>
        </w:sectPr>
      </w:pPr>
    </w:p>
    <w:p w14:paraId="7982D65A" w14:textId="304F13D1" w:rsidR="006A4870" w:rsidRPr="003E735A" w:rsidRDefault="003E735A">
      <w:pPr>
        <w:rPr>
          <w:i/>
          <w:iCs/>
        </w:rPr>
        <w:sectPr w:rsidR="006A4870" w:rsidRPr="003E735A" w:rsidSect="006A4870">
          <w:type w:val="continuous"/>
          <w:pgSz w:w="12240" w:h="15840"/>
          <w:pgMar w:top="1440" w:right="1800" w:bottom="1440" w:left="1800" w:header="720" w:footer="720" w:gutter="0"/>
          <w:cols w:space="720"/>
          <w:docGrid w:linePitch="360"/>
        </w:sectPr>
      </w:pPr>
      <w:r w:rsidRPr="003E735A">
        <w:rPr>
          <w:i/>
          <w:iCs/>
        </w:rPr>
        <w:lastRenderedPageBreak/>
        <w:t>Specialty</w:t>
      </w:r>
      <w:r w:rsidR="006A4870" w:rsidRPr="003E735A">
        <w:rPr>
          <w:i/>
          <w:iCs/>
        </w:rPr>
        <w:t xml:space="preserve"> Stats</w:t>
      </w:r>
    </w:p>
    <w:tbl>
      <w:tblPr>
        <w:tblW w:w="0" w:type="auto"/>
        <w:tblCellMar>
          <w:left w:w="0" w:type="dxa"/>
          <w:right w:w="0" w:type="dxa"/>
        </w:tblCellMar>
        <w:tblLook w:val="04A0" w:firstRow="1" w:lastRow="0" w:firstColumn="1" w:lastColumn="0" w:noHBand="0" w:noVBand="1"/>
      </w:tblPr>
      <w:tblGrid>
        <w:gridCol w:w="1193"/>
        <w:gridCol w:w="496"/>
        <w:gridCol w:w="496"/>
        <w:gridCol w:w="737"/>
        <w:gridCol w:w="1185"/>
      </w:tblGrid>
      <w:tr w:rsidR="006A4870" w:rsidRPr="006A4870" w14:paraId="5D9D8E59" w14:textId="77777777" w:rsidTr="006A4870">
        <w:trPr>
          <w:trHeight w:val="165"/>
        </w:trPr>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65F5A9"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Stat</w:t>
            </w:r>
          </w:p>
        </w:tc>
        <w:tc>
          <w:tcPr>
            <w:tcW w:w="3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8E1582"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HOB</w:t>
            </w:r>
          </w:p>
        </w:tc>
        <w:tc>
          <w:tcPr>
            <w:tcW w:w="3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DBF027"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OPP</w:t>
            </w:r>
          </w:p>
        </w:tc>
        <w:tc>
          <w:tcPr>
            <w:tcW w:w="6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D98BD11"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MARGIN</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79A1828"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 MARGIN DIFF</w:t>
            </w:r>
          </w:p>
        </w:tc>
      </w:tr>
      <w:tr w:rsidR="006A4870" w:rsidRPr="006A4870" w14:paraId="2EE7FB82" w14:textId="77777777" w:rsidTr="006A4870">
        <w:trPr>
          <w:trHeight w:val="180"/>
        </w:trPr>
        <w:tc>
          <w:tcPr>
            <w:tcW w:w="10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6AC1AE"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avg_pts_paint</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4DF6B"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34.52</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BCFFB"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29.5</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6B9CB"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5.02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C28EAA"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17.00%</w:t>
            </w:r>
          </w:p>
        </w:tc>
      </w:tr>
      <w:tr w:rsidR="006A4870" w:rsidRPr="006A4870" w14:paraId="5F218D1A" w14:textId="77777777" w:rsidTr="006A4870">
        <w:trPr>
          <w:trHeight w:val="165"/>
        </w:trPr>
        <w:tc>
          <w:tcPr>
            <w:tcW w:w="10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A86559"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avg_pts_to</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4C6E0"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12.4</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E340D"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13.86</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FA4CC"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-1.46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20A4A"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-10.50%</w:t>
            </w:r>
          </w:p>
        </w:tc>
      </w:tr>
      <w:tr w:rsidR="006A4870" w:rsidRPr="006A4870" w14:paraId="545960BA" w14:textId="77777777" w:rsidTr="006A4870">
        <w:trPr>
          <w:trHeight w:val="165"/>
        </w:trPr>
        <w:tc>
          <w:tcPr>
            <w:tcW w:w="10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2EFE95"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b/>
                <w:bCs/>
                <w:color w:val="000000"/>
                <w:sz w:val="15"/>
                <w:szCs w:val="15"/>
              </w:rPr>
              <w:t>avg_pts_ch2</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94F55"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11.47</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52202"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7.73</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66E0E"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3.74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90C4B"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48.40%</w:t>
            </w:r>
          </w:p>
        </w:tc>
      </w:tr>
      <w:tr w:rsidR="006A4870" w:rsidRPr="006A4870" w14:paraId="1DA33F8E" w14:textId="77777777" w:rsidTr="006A4870">
        <w:trPr>
          <w:trHeight w:val="165"/>
        </w:trPr>
        <w:tc>
          <w:tcPr>
            <w:tcW w:w="10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E0A45A"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avg_pts_fastb</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DCFEF"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6.64</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EE95B"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6.61</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B0042"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0.03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5A04C"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5.00%</w:t>
            </w:r>
          </w:p>
        </w:tc>
      </w:tr>
      <w:tr w:rsidR="006A4870" w:rsidRPr="006A4870" w14:paraId="281C1AD9" w14:textId="77777777" w:rsidTr="006A4870">
        <w:trPr>
          <w:trHeight w:val="165"/>
        </w:trPr>
        <w:tc>
          <w:tcPr>
            <w:tcW w:w="10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C9EA0E" w14:textId="77777777" w:rsidR="006A4870" w:rsidRPr="006A4870" w:rsidRDefault="006A4870" w:rsidP="006A4870">
            <w:pPr>
              <w:spacing w:after="0" w:line="240" w:lineRule="auto"/>
              <w:rPr>
                <w:rFonts w:ascii="Times New Roman" w:eastAsia="Times New Roman" w:hAnsi="Times New Roman" w:cs="Times New Roman"/>
                <w:sz w:val="24"/>
                <w:szCs w:val="24"/>
              </w:rPr>
            </w:pPr>
            <w:proofErr w:type="spellStart"/>
            <w:r w:rsidRPr="006A4870">
              <w:rPr>
                <w:rFonts w:ascii="Helvetica Neue" w:eastAsia="Times New Roman" w:hAnsi="Helvetica Neue" w:cs="Times New Roman"/>
                <w:b/>
                <w:bCs/>
                <w:color w:val="000000"/>
                <w:sz w:val="15"/>
                <w:szCs w:val="15"/>
              </w:rPr>
              <w:t>avg_pts_bench</w:t>
            </w:r>
            <w:proofErr w:type="spellEnd"/>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4C8CB"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21.43</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7E5F1"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18.76</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D325A"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2.67</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1A4CD" w14:textId="77777777" w:rsidR="006A4870" w:rsidRPr="006A4870" w:rsidRDefault="006A4870" w:rsidP="006A4870">
            <w:pPr>
              <w:spacing w:after="0" w:line="240" w:lineRule="auto"/>
              <w:rPr>
                <w:rFonts w:ascii="Times New Roman" w:eastAsia="Times New Roman" w:hAnsi="Times New Roman" w:cs="Times New Roman"/>
                <w:sz w:val="24"/>
                <w:szCs w:val="24"/>
              </w:rPr>
            </w:pPr>
            <w:r w:rsidRPr="006A4870">
              <w:rPr>
                <w:rFonts w:ascii="Helvetica Neue" w:eastAsia="Times New Roman" w:hAnsi="Helvetica Neue" w:cs="Times New Roman"/>
                <w:color w:val="000000"/>
                <w:sz w:val="15"/>
                <w:szCs w:val="15"/>
              </w:rPr>
              <w:t>14.20%</w:t>
            </w:r>
          </w:p>
        </w:tc>
      </w:tr>
    </w:tbl>
    <w:p w14:paraId="102C8F5B" w14:textId="5703A4F2" w:rsidR="00FD1359" w:rsidRPr="007F2255" w:rsidRDefault="00FD1359">
      <w:pPr>
        <w:pStyle w:val="Heading1"/>
        <w:rPr>
          <w:rFonts w:asciiTheme="minorHAnsi" w:eastAsiaTheme="minorEastAsia" w:hAnsiTheme="minorHAnsi" w:cstheme="minorBidi"/>
          <w:color w:val="auto"/>
          <w:sz w:val="24"/>
          <w:szCs w:val="24"/>
        </w:rPr>
      </w:pPr>
      <w:r w:rsidRPr="007F2255">
        <w:rPr>
          <w:rFonts w:asciiTheme="minorHAnsi" w:eastAsiaTheme="minorEastAsia" w:hAnsiTheme="minorHAnsi" w:cstheme="minorBidi"/>
          <w:color w:val="auto"/>
          <w:sz w:val="24"/>
          <w:szCs w:val="24"/>
        </w:rPr>
        <w:t>An important column to focus on is “% MARGIN DIFF.”</w:t>
      </w:r>
      <w:r w:rsidRPr="007F2255">
        <w:rPr>
          <w:rFonts w:asciiTheme="minorHAnsi" w:eastAsiaTheme="minorEastAsia" w:hAnsiTheme="minorHAnsi" w:cstheme="minorBidi"/>
          <w:b w:val="0"/>
          <w:bCs w:val="0"/>
          <w:color w:val="auto"/>
          <w:sz w:val="24"/>
          <w:szCs w:val="24"/>
        </w:rPr>
        <w:br/>
        <w:t>Unlike the raw numbers in the “MARGIN” column, which show the absolute difference between Hobart and its opponents, the “% MARGIN DIFF” column offers a clearer perspective by highlighting the relative difference. This percentage-based comparison provides a more effective way to evaluate how Hobart consistently stacks up against its competition across each statistical category.</w:t>
      </w:r>
    </w:p>
    <w:p w14:paraId="6B1AA4E9" w14:textId="65768DD8" w:rsidR="00D36310" w:rsidRPr="00E351CA" w:rsidRDefault="00000000">
      <w:pPr>
        <w:pStyle w:val="Heading1"/>
        <w:rPr>
          <w:color w:val="F25E16"/>
        </w:rPr>
      </w:pPr>
      <w:r w:rsidRPr="00E351CA">
        <w:rPr>
          <w:color w:val="F25E16"/>
        </w:rPr>
        <w:t xml:space="preserve">2. </w:t>
      </w:r>
      <w:r w:rsidR="00AD1D31">
        <w:rPr>
          <w:color w:val="F25E16"/>
        </w:rPr>
        <w:t>Positive Margins</w:t>
      </w:r>
    </w:p>
    <w:p w14:paraId="2ED8534D" w14:textId="41DD1C63" w:rsidR="0034202F" w:rsidRDefault="00AD1D31" w:rsidP="0034202F">
      <w:pPr>
        <w:jc w:val="center"/>
      </w:pPr>
      <w:r>
        <w:rPr>
          <w:noProof/>
        </w:rPr>
        <w:drawing>
          <wp:inline distT="0" distB="0" distL="0" distR="0" wp14:anchorId="5A96CDDE" wp14:editId="1E281E1F">
            <wp:extent cx="5486400" cy="3729355"/>
            <wp:effectExtent l="0" t="0" r="0" b="4445"/>
            <wp:docPr id="1201640475" name="Picture 1" descr="A graph showing the number of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40475" name="Picture 1" descr="A graph showing the number of colors&#10;&#10;AI-generated content may be incorrect."/>
                    <pic:cNvPicPr/>
                  </pic:nvPicPr>
                  <pic:blipFill>
                    <a:blip r:embed="rId9"/>
                    <a:stretch>
                      <a:fillRect/>
                    </a:stretch>
                  </pic:blipFill>
                  <pic:spPr>
                    <a:xfrm>
                      <a:off x="0" y="0"/>
                      <a:ext cx="5486400" cy="3729355"/>
                    </a:xfrm>
                    <a:prstGeom prst="rect">
                      <a:avLst/>
                    </a:prstGeom>
                  </pic:spPr>
                </pic:pic>
              </a:graphicData>
            </a:graphic>
          </wp:inline>
        </w:drawing>
      </w:r>
    </w:p>
    <w:p w14:paraId="31C1239C" w14:textId="59A94311" w:rsidR="00AD1D31" w:rsidRPr="007F2255" w:rsidRDefault="00AD1D31" w:rsidP="00AD1D31">
      <w:pPr>
        <w:rPr>
          <w:sz w:val="24"/>
          <w:szCs w:val="24"/>
        </w:rPr>
      </w:pPr>
      <w:r w:rsidRPr="007F2255">
        <w:rPr>
          <w:sz w:val="24"/>
          <w:szCs w:val="24"/>
        </w:rPr>
        <w:t xml:space="preserve">Three of Hobart’s top five statistical advantages over the past five seasons came from rebounding categories, underscoring their dominance on the glass. Leading the way is </w:t>
      </w:r>
      <w:r w:rsidRPr="007F2255">
        <w:rPr>
          <w:rStyle w:val="Strong"/>
          <w:sz w:val="24"/>
          <w:szCs w:val="24"/>
        </w:rPr>
        <w:t>average second-chance points (avg_pts_ch2)</w:t>
      </w:r>
      <w:r w:rsidRPr="007F2255">
        <w:rPr>
          <w:sz w:val="24"/>
          <w:szCs w:val="24"/>
        </w:rPr>
        <w:t xml:space="preserve">—a direct reflection of their </w:t>
      </w:r>
      <w:r w:rsidRPr="007F2255">
        <w:rPr>
          <w:sz w:val="24"/>
          <w:szCs w:val="24"/>
        </w:rPr>
        <w:lastRenderedPageBreak/>
        <w:t>ability to convert offensive rebounds into scoring opportunities. This consistent edge in rebounding has been a cornerstone of Hobart’s success, driving both possession control and point production.</w:t>
      </w:r>
    </w:p>
    <w:p w14:paraId="480A92F5" w14:textId="66056B3B" w:rsidR="00AD1D31" w:rsidRPr="00E351CA" w:rsidRDefault="00227DDD" w:rsidP="00AD1D31">
      <w:pPr>
        <w:pStyle w:val="Heading1"/>
        <w:rPr>
          <w:color w:val="F25E16"/>
        </w:rPr>
      </w:pPr>
      <w:r>
        <w:rPr>
          <w:color w:val="F25E16"/>
        </w:rPr>
        <w:t>3</w:t>
      </w:r>
      <w:r w:rsidR="00AD1D31" w:rsidRPr="00E351CA">
        <w:rPr>
          <w:color w:val="F25E16"/>
        </w:rPr>
        <w:t xml:space="preserve">. </w:t>
      </w:r>
      <w:r w:rsidR="00AD1D31">
        <w:rPr>
          <w:color w:val="F25E16"/>
        </w:rPr>
        <w:t>Negative Margins</w:t>
      </w:r>
    </w:p>
    <w:p w14:paraId="08A56CA7" w14:textId="37A415AF" w:rsidR="00AD1D31" w:rsidRDefault="00AD1D31" w:rsidP="00AD1D31">
      <w:r>
        <w:rPr>
          <w:noProof/>
        </w:rPr>
        <w:drawing>
          <wp:inline distT="0" distB="0" distL="0" distR="0" wp14:anchorId="2CE0B22B" wp14:editId="7BF0FBF1">
            <wp:extent cx="5486400" cy="2905125"/>
            <wp:effectExtent l="0" t="0" r="0" b="3175"/>
            <wp:docPr id="1834765270" name="Picture 2" descr="A graph showing negative margin ident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65270" name="Picture 2" descr="A graph showing negative margin identity&#10;&#10;AI-generated content may be incorrect."/>
                    <pic:cNvPicPr/>
                  </pic:nvPicPr>
                  <pic:blipFill>
                    <a:blip r:embed="rId10"/>
                    <a:stretch>
                      <a:fillRect/>
                    </a:stretch>
                  </pic:blipFill>
                  <pic:spPr>
                    <a:xfrm>
                      <a:off x="0" y="0"/>
                      <a:ext cx="5486400" cy="2905125"/>
                    </a:xfrm>
                    <a:prstGeom prst="rect">
                      <a:avLst/>
                    </a:prstGeom>
                  </pic:spPr>
                </pic:pic>
              </a:graphicData>
            </a:graphic>
          </wp:inline>
        </w:drawing>
      </w:r>
    </w:p>
    <w:p w14:paraId="1D0D07DB" w14:textId="0CED8CEF" w:rsidR="00515CEA" w:rsidRPr="007F2255" w:rsidRDefault="00227DDD" w:rsidP="00227DDD">
      <w:pPr>
        <w:rPr>
          <w:sz w:val="24"/>
          <w:szCs w:val="24"/>
        </w:rPr>
      </w:pPr>
      <w:r w:rsidRPr="007F2255">
        <w:rPr>
          <w:sz w:val="24"/>
          <w:szCs w:val="24"/>
        </w:rPr>
        <w:t xml:space="preserve">While Hobart has showcased clear strengths, it’s equally important to spotlight areas for improvement. Their three largest deficits come in </w:t>
      </w:r>
      <w:r w:rsidRPr="007F2255">
        <w:rPr>
          <w:b/>
          <w:bCs/>
          <w:sz w:val="24"/>
          <w:szCs w:val="24"/>
        </w:rPr>
        <w:t>steals, blocks, and turnovers forced</w:t>
      </w:r>
      <w:r w:rsidRPr="007F2255">
        <w:rPr>
          <w:sz w:val="24"/>
          <w:szCs w:val="24"/>
        </w:rPr>
        <w:t xml:space="preserve">—all indicators of defensive disruption. Although these stats don’t always directly reflect defensive quality (especially given Hobart's </w:t>
      </w:r>
      <w:r w:rsidRPr="007F2255">
        <w:rPr>
          <w:b/>
          <w:bCs/>
          <w:sz w:val="24"/>
          <w:szCs w:val="24"/>
        </w:rPr>
        <w:t>+7.75% FG% advantage</w:t>
      </w:r>
      <w:r w:rsidRPr="007F2255">
        <w:rPr>
          <w:sz w:val="24"/>
          <w:szCs w:val="24"/>
        </w:rPr>
        <w:t>), they do impact possession control. Blocks deter shot attempts, and forced turnovers eliminate them entirely. Increasing pressure in these categories could limit opponents' opportunities while creating more transition chances for Hobart. Sharpening this side of their game would further amplify the team's overall performance.</w:t>
      </w:r>
    </w:p>
    <w:p w14:paraId="028786AD" w14:textId="60FA8F25" w:rsidR="00A45E8E" w:rsidRPr="00BA5A88" w:rsidRDefault="00A45E8E" w:rsidP="00BA5A88">
      <w:pPr>
        <w:pStyle w:val="Heading1"/>
        <w:rPr>
          <w:color w:val="F25E16"/>
        </w:rPr>
      </w:pPr>
      <w:r>
        <w:rPr>
          <w:color w:val="F25E16"/>
        </w:rPr>
        <w:t>3</w:t>
      </w:r>
      <w:r w:rsidRPr="00E351CA">
        <w:rPr>
          <w:color w:val="F25E16"/>
        </w:rPr>
        <w:t xml:space="preserve">. </w:t>
      </w:r>
      <w:r>
        <w:rPr>
          <w:color w:val="F25E16"/>
        </w:rPr>
        <w:t>Championship DNA &amp; Best Rankings</w:t>
      </w:r>
    </w:p>
    <w:p w14:paraId="4E445A41" w14:textId="652CEC44" w:rsidR="00362AED" w:rsidRPr="007F2255" w:rsidRDefault="00A45E8E" w:rsidP="00227DDD">
      <w:pPr>
        <w:rPr>
          <w:sz w:val="24"/>
          <w:szCs w:val="24"/>
        </w:rPr>
      </w:pPr>
      <w:r w:rsidRPr="007F2255">
        <w:rPr>
          <w:sz w:val="24"/>
          <w:szCs w:val="24"/>
        </w:rPr>
        <w:t xml:space="preserve">When analyzing this data, it’s important to identify trends that can </w:t>
      </w:r>
      <w:r w:rsidR="001B4E89" w:rsidRPr="007F2255">
        <w:rPr>
          <w:sz w:val="24"/>
          <w:szCs w:val="24"/>
        </w:rPr>
        <w:t xml:space="preserve">lead to more wins throughout a season. While there is no exact statistical map, looking at the history of the past five seasons, we can see that certain teams have thrived when compared to their opponents and the statistical margins. </w:t>
      </w:r>
      <w:r w:rsidR="00303BB0" w:rsidRPr="007F2255">
        <w:rPr>
          <w:sz w:val="24"/>
          <w:szCs w:val="24"/>
        </w:rPr>
        <w:t>Beneath the table below</w:t>
      </w:r>
      <w:r w:rsidR="001B4E89" w:rsidRPr="007F2255">
        <w:rPr>
          <w:sz w:val="24"/>
          <w:szCs w:val="24"/>
        </w:rPr>
        <w:t>, there is a color key indicating</w:t>
      </w:r>
      <w:r w:rsidR="00A208BB" w:rsidRPr="007F2255">
        <w:rPr>
          <w:sz w:val="24"/>
          <w:szCs w:val="24"/>
        </w:rPr>
        <w:t xml:space="preserve"> a</w:t>
      </w:r>
      <w:r w:rsidR="001B4E89" w:rsidRPr="007F2255">
        <w:rPr>
          <w:sz w:val="24"/>
          <w:szCs w:val="24"/>
        </w:rPr>
        <w:t xml:space="preserve"> ranking</w:t>
      </w:r>
      <w:r w:rsidR="00A208BB" w:rsidRPr="007F2255">
        <w:rPr>
          <w:sz w:val="24"/>
          <w:szCs w:val="24"/>
        </w:rPr>
        <w:t xml:space="preserve"> on</w:t>
      </w:r>
      <w:r w:rsidR="001B4E89" w:rsidRPr="007F2255">
        <w:rPr>
          <w:sz w:val="24"/>
          <w:szCs w:val="24"/>
        </w:rPr>
        <w:t xml:space="preserve"> how a team did in </w:t>
      </w:r>
      <w:r w:rsidR="00F16C2E" w:rsidRPr="007F2255">
        <w:rPr>
          <w:sz w:val="24"/>
          <w:szCs w:val="24"/>
        </w:rPr>
        <w:t xml:space="preserve">a </w:t>
      </w:r>
      <w:r w:rsidR="001B4E89" w:rsidRPr="007F2255">
        <w:rPr>
          <w:sz w:val="24"/>
          <w:szCs w:val="24"/>
        </w:rPr>
        <w:t xml:space="preserve">statistical category, compared to the other seasons. Please note the 2019-2020 &amp; 2023-2024 seasons </w:t>
      </w:r>
      <w:r w:rsidR="001B4E89" w:rsidRPr="007F2255">
        <w:rPr>
          <w:sz w:val="24"/>
          <w:szCs w:val="24"/>
        </w:rPr>
        <w:lastRenderedPageBreak/>
        <w:t>qualified for the NCAA tournament. Both of those seasons, each team compiled over 20+ wins as well.</w:t>
      </w:r>
    </w:p>
    <w:tbl>
      <w:tblPr>
        <w:tblpPr w:leftFromText="180" w:rightFromText="180" w:vertAnchor="text" w:horzAnchor="margin" w:tblpY="416"/>
        <w:tblW w:w="0" w:type="auto"/>
        <w:tblCellMar>
          <w:left w:w="0" w:type="dxa"/>
          <w:right w:w="0" w:type="dxa"/>
        </w:tblCellMar>
        <w:tblLook w:val="04A0" w:firstRow="1" w:lastRow="0" w:firstColumn="1" w:lastColumn="0" w:noHBand="0" w:noVBand="1"/>
      </w:tblPr>
      <w:tblGrid>
        <w:gridCol w:w="459"/>
        <w:gridCol w:w="994"/>
        <w:gridCol w:w="996"/>
        <w:gridCol w:w="1050"/>
        <w:gridCol w:w="970"/>
        <w:gridCol w:w="857"/>
        <w:gridCol w:w="845"/>
        <w:gridCol w:w="814"/>
        <w:gridCol w:w="843"/>
        <w:gridCol w:w="796"/>
      </w:tblGrid>
      <w:tr w:rsidR="00EC0F4F" w:rsidRPr="00362AED" w14:paraId="0124C2BC" w14:textId="77777777" w:rsidTr="00EC0F4F">
        <w:trPr>
          <w:trHeight w:val="165"/>
        </w:trPr>
        <w:tc>
          <w:tcPr>
            <w:tcW w:w="4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77A752"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b/>
                <w:bCs/>
                <w:color w:val="000000"/>
                <w:sz w:val="15"/>
                <w:szCs w:val="15"/>
              </w:rPr>
              <w:t>season</w:t>
            </w:r>
          </w:p>
        </w:tc>
        <w:tc>
          <w:tcPr>
            <w:tcW w:w="9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75ADC7D" w14:textId="77777777" w:rsidR="00EC0F4F" w:rsidRPr="00362AED" w:rsidRDefault="00EC0F4F" w:rsidP="001B4EF5">
            <w:pPr>
              <w:spacing w:after="0" w:line="240" w:lineRule="auto"/>
              <w:rPr>
                <w:rFonts w:ascii="Times New Roman" w:eastAsia="Times New Roman" w:hAnsi="Times New Roman" w:cs="Times New Roman"/>
                <w:sz w:val="24"/>
                <w:szCs w:val="24"/>
              </w:rPr>
            </w:pPr>
            <w:proofErr w:type="spellStart"/>
            <w:r w:rsidRPr="00362AED">
              <w:rPr>
                <w:rFonts w:ascii="Helvetica Neue" w:eastAsia="Times New Roman" w:hAnsi="Helvetica Neue" w:cs="Times New Roman"/>
                <w:b/>
                <w:bCs/>
                <w:color w:val="000000"/>
                <w:sz w:val="15"/>
                <w:szCs w:val="15"/>
              </w:rPr>
              <w:t>pct_margin_points</w:t>
            </w:r>
            <w:proofErr w:type="spellEnd"/>
          </w:p>
        </w:tc>
        <w:tc>
          <w:tcPr>
            <w:tcW w:w="93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3C9903B" w14:textId="77777777" w:rsidR="00EC0F4F" w:rsidRPr="00362AED" w:rsidRDefault="00EC0F4F" w:rsidP="001B4EF5">
            <w:pPr>
              <w:spacing w:after="0" w:line="240" w:lineRule="auto"/>
              <w:rPr>
                <w:rFonts w:ascii="Times New Roman" w:eastAsia="Times New Roman" w:hAnsi="Times New Roman" w:cs="Times New Roman"/>
                <w:sz w:val="24"/>
                <w:szCs w:val="24"/>
              </w:rPr>
            </w:pPr>
            <w:proofErr w:type="spellStart"/>
            <w:r w:rsidRPr="00362AED">
              <w:rPr>
                <w:rFonts w:ascii="Helvetica Neue" w:eastAsia="Times New Roman" w:hAnsi="Helvetica Neue" w:cs="Times New Roman"/>
                <w:b/>
                <w:bCs/>
                <w:color w:val="000000"/>
                <w:sz w:val="15"/>
                <w:szCs w:val="15"/>
              </w:rPr>
              <w:t>pct_margin_fg_pct</w:t>
            </w:r>
            <w:proofErr w:type="spellEnd"/>
          </w:p>
        </w:tc>
        <w:tc>
          <w:tcPr>
            <w:tcW w:w="98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AF2C22"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b/>
                <w:bCs/>
                <w:color w:val="000000"/>
                <w:sz w:val="15"/>
                <w:szCs w:val="15"/>
              </w:rPr>
              <w:t>pct_margin_fg3_pct</w:t>
            </w:r>
          </w:p>
        </w:tc>
        <w:tc>
          <w:tcPr>
            <w:tcW w:w="9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3CE233" w14:textId="77777777" w:rsidR="00EC0F4F" w:rsidRPr="00362AED" w:rsidRDefault="00EC0F4F" w:rsidP="001B4EF5">
            <w:pPr>
              <w:spacing w:after="0" w:line="240" w:lineRule="auto"/>
              <w:rPr>
                <w:rFonts w:ascii="Times New Roman" w:eastAsia="Times New Roman" w:hAnsi="Times New Roman" w:cs="Times New Roman"/>
                <w:sz w:val="24"/>
                <w:szCs w:val="24"/>
              </w:rPr>
            </w:pPr>
            <w:proofErr w:type="spellStart"/>
            <w:r w:rsidRPr="00362AED">
              <w:rPr>
                <w:rFonts w:ascii="Helvetica Neue" w:eastAsia="Times New Roman" w:hAnsi="Helvetica Neue" w:cs="Times New Roman"/>
                <w:b/>
                <w:bCs/>
                <w:color w:val="000000"/>
                <w:sz w:val="15"/>
                <w:szCs w:val="15"/>
              </w:rPr>
              <w:t>pct_margin_ft_pct</w:t>
            </w:r>
            <w:proofErr w:type="spellEnd"/>
          </w:p>
        </w:tc>
        <w:tc>
          <w:tcPr>
            <w:tcW w:w="80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BEB42B" w14:textId="77777777" w:rsidR="00EC0F4F" w:rsidRPr="00362AED" w:rsidRDefault="00EC0F4F" w:rsidP="001B4EF5">
            <w:pPr>
              <w:spacing w:after="0" w:line="240" w:lineRule="auto"/>
              <w:rPr>
                <w:rFonts w:ascii="Times New Roman" w:eastAsia="Times New Roman" w:hAnsi="Times New Roman" w:cs="Times New Roman"/>
                <w:sz w:val="24"/>
                <w:szCs w:val="24"/>
              </w:rPr>
            </w:pPr>
            <w:proofErr w:type="spellStart"/>
            <w:r w:rsidRPr="00362AED">
              <w:rPr>
                <w:rFonts w:ascii="Helvetica Neue" w:eastAsia="Times New Roman" w:hAnsi="Helvetica Neue" w:cs="Times New Roman"/>
                <w:b/>
                <w:bCs/>
                <w:color w:val="000000"/>
                <w:sz w:val="15"/>
                <w:szCs w:val="15"/>
              </w:rPr>
              <w:t>pct_margin_reb</w:t>
            </w:r>
            <w:proofErr w:type="spellEnd"/>
          </w:p>
        </w:tc>
        <w:tc>
          <w:tcPr>
            <w:tcW w:w="7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128FD8" w14:textId="77777777" w:rsidR="00EC0F4F" w:rsidRPr="00362AED" w:rsidRDefault="00EC0F4F" w:rsidP="001B4EF5">
            <w:pPr>
              <w:spacing w:after="0" w:line="240" w:lineRule="auto"/>
              <w:rPr>
                <w:rFonts w:ascii="Times New Roman" w:eastAsia="Times New Roman" w:hAnsi="Times New Roman" w:cs="Times New Roman"/>
                <w:sz w:val="24"/>
                <w:szCs w:val="24"/>
              </w:rPr>
            </w:pPr>
            <w:proofErr w:type="spellStart"/>
            <w:r w:rsidRPr="00362AED">
              <w:rPr>
                <w:rFonts w:ascii="Helvetica Neue" w:eastAsia="Times New Roman" w:hAnsi="Helvetica Neue" w:cs="Times New Roman"/>
                <w:b/>
                <w:bCs/>
                <w:color w:val="000000"/>
                <w:sz w:val="15"/>
                <w:szCs w:val="15"/>
              </w:rPr>
              <w:t>pct_margin_ast</w:t>
            </w:r>
            <w:proofErr w:type="spellEnd"/>
          </w:p>
        </w:tc>
        <w:tc>
          <w:tcPr>
            <w:tcW w:w="76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D250A1D" w14:textId="77777777" w:rsidR="00EC0F4F" w:rsidRPr="00362AED" w:rsidRDefault="00EC0F4F" w:rsidP="001B4EF5">
            <w:pPr>
              <w:spacing w:after="0" w:line="240" w:lineRule="auto"/>
              <w:rPr>
                <w:rFonts w:ascii="Times New Roman" w:eastAsia="Times New Roman" w:hAnsi="Times New Roman" w:cs="Times New Roman"/>
                <w:sz w:val="24"/>
                <w:szCs w:val="24"/>
              </w:rPr>
            </w:pPr>
            <w:proofErr w:type="spellStart"/>
            <w:r w:rsidRPr="00362AED">
              <w:rPr>
                <w:rFonts w:ascii="Helvetica Neue" w:eastAsia="Times New Roman" w:hAnsi="Helvetica Neue" w:cs="Times New Roman"/>
                <w:b/>
                <w:bCs/>
                <w:color w:val="000000"/>
                <w:sz w:val="15"/>
                <w:szCs w:val="15"/>
              </w:rPr>
              <w:t>pct_margin_stl</w:t>
            </w:r>
            <w:proofErr w:type="spellEnd"/>
          </w:p>
        </w:tc>
        <w:tc>
          <w:tcPr>
            <w:tcW w:w="7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101E0A9" w14:textId="77777777" w:rsidR="00EC0F4F" w:rsidRPr="00362AED" w:rsidRDefault="00EC0F4F" w:rsidP="001B4EF5">
            <w:pPr>
              <w:spacing w:after="0" w:line="240" w:lineRule="auto"/>
              <w:rPr>
                <w:rFonts w:ascii="Times New Roman" w:eastAsia="Times New Roman" w:hAnsi="Times New Roman" w:cs="Times New Roman"/>
                <w:sz w:val="24"/>
                <w:szCs w:val="24"/>
              </w:rPr>
            </w:pPr>
            <w:proofErr w:type="spellStart"/>
            <w:r w:rsidRPr="00362AED">
              <w:rPr>
                <w:rFonts w:ascii="Helvetica Neue" w:eastAsia="Times New Roman" w:hAnsi="Helvetica Neue" w:cs="Times New Roman"/>
                <w:b/>
                <w:bCs/>
                <w:color w:val="000000"/>
                <w:sz w:val="15"/>
                <w:szCs w:val="15"/>
              </w:rPr>
              <w:t>pct_margin_blk</w:t>
            </w:r>
            <w:proofErr w:type="spellEnd"/>
          </w:p>
        </w:tc>
        <w:tc>
          <w:tcPr>
            <w:tcW w:w="74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14A356" w14:textId="77777777" w:rsidR="00EC0F4F" w:rsidRPr="00362AED" w:rsidRDefault="00EC0F4F" w:rsidP="001B4EF5">
            <w:pPr>
              <w:spacing w:after="0" w:line="240" w:lineRule="auto"/>
              <w:rPr>
                <w:rFonts w:ascii="Times New Roman" w:eastAsia="Times New Roman" w:hAnsi="Times New Roman" w:cs="Times New Roman"/>
                <w:sz w:val="24"/>
                <w:szCs w:val="24"/>
              </w:rPr>
            </w:pPr>
            <w:proofErr w:type="spellStart"/>
            <w:r w:rsidRPr="00362AED">
              <w:rPr>
                <w:rFonts w:ascii="Helvetica Neue" w:eastAsia="Times New Roman" w:hAnsi="Helvetica Neue" w:cs="Times New Roman"/>
                <w:b/>
                <w:bCs/>
                <w:color w:val="000000"/>
                <w:sz w:val="15"/>
                <w:szCs w:val="15"/>
              </w:rPr>
              <w:t>pct_margin_to</w:t>
            </w:r>
            <w:proofErr w:type="spellEnd"/>
          </w:p>
        </w:tc>
      </w:tr>
      <w:tr w:rsidR="00EC0F4F" w:rsidRPr="00362AED" w14:paraId="21F283A7" w14:textId="77777777" w:rsidTr="00EC0F4F">
        <w:trPr>
          <w:trHeight w:val="180"/>
        </w:trPr>
        <w:tc>
          <w:tcPr>
            <w:tcW w:w="43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4F4996"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b/>
                <w:bCs/>
                <w:color w:val="000000"/>
                <w:sz w:val="15"/>
                <w:szCs w:val="15"/>
              </w:rPr>
              <w:t>2019 - 2020</w:t>
            </w:r>
          </w:p>
        </w:tc>
        <w:tc>
          <w:tcPr>
            <w:tcW w:w="929" w:type="dxa"/>
            <w:tcBorders>
              <w:top w:val="single" w:sz="6" w:space="0" w:color="000000"/>
              <w:left w:val="single" w:sz="6" w:space="0" w:color="000000"/>
              <w:bottom w:val="single" w:sz="6" w:space="0" w:color="000000"/>
              <w:right w:val="single" w:sz="6" w:space="0" w:color="000000"/>
            </w:tcBorders>
            <w:shd w:val="clear" w:color="auto" w:fill="20A603"/>
            <w:tcMar>
              <w:top w:w="60" w:type="dxa"/>
              <w:left w:w="60" w:type="dxa"/>
              <w:bottom w:w="60" w:type="dxa"/>
              <w:right w:w="60" w:type="dxa"/>
            </w:tcMar>
            <w:hideMark/>
          </w:tcPr>
          <w:p w14:paraId="4EC6EE89"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14.9</w:t>
            </w:r>
          </w:p>
        </w:tc>
        <w:tc>
          <w:tcPr>
            <w:tcW w:w="931" w:type="dxa"/>
            <w:tcBorders>
              <w:top w:val="single" w:sz="6" w:space="0" w:color="000000"/>
              <w:left w:val="single" w:sz="6" w:space="0" w:color="000000"/>
              <w:bottom w:val="single" w:sz="6" w:space="0" w:color="000000"/>
              <w:right w:val="single" w:sz="6" w:space="0" w:color="000000"/>
            </w:tcBorders>
            <w:shd w:val="clear" w:color="auto" w:fill="20A603"/>
            <w:tcMar>
              <w:top w:w="60" w:type="dxa"/>
              <w:left w:w="60" w:type="dxa"/>
              <w:bottom w:w="60" w:type="dxa"/>
              <w:right w:w="60" w:type="dxa"/>
            </w:tcMar>
            <w:hideMark/>
          </w:tcPr>
          <w:p w14:paraId="40B9EA7E"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22.3</w:t>
            </w:r>
          </w:p>
        </w:tc>
        <w:tc>
          <w:tcPr>
            <w:tcW w:w="982" w:type="dxa"/>
            <w:tcBorders>
              <w:top w:val="single" w:sz="6" w:space="0" w:color="000000"/>
              <w:left w:val="single" w:sz="6" w:space="0" w:color="000000"/>
              <w:bottom w:val="single" w:sz="6" w:space="0" w:color="000000"/>
              <w:right w:val="single" w:sz="6" w:space="0" w:color="000000"/>
            </w:tcBorders>
            <w:shd w:val="clear" w:color="auto" w:fill="20A603"/>
            <w:tcMar>
              <w:top w:w="60" w:type="dxa"/>
              <w:left w:w="60" w:type="dxa"/>
              <w:bottom w:w="60" w:type="dxa"/>
              <w:right w:w="60" w:type="dxa"/>
            </w:tcMar>
            <w:hideMark/>
          </w:tcPr>
          <w:p w14:paraId="3765ACC1"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22.6</w:t>
            </w:r>
          </w:p>
        </w:tc>
        <w:tc>
          <w:tcPr>
            <w:tcW w:w="907" w:type="dxa"/>
            <w:tcBorders>
              <w:top w:val="single" w:sz="6" w:space="0" w:color="000000"/>
              <w:left w:val="single" w:sz="6" w:space="0" w:color="000000"/>
              <w:bottom w:val="single" w:sz="6" w:space="0" w:color="000000"/>
              <w:right w:val="single" w:sz="6" w:space="0" w:color="000000"/>
            </w:tcBorders>
            <w:shd w:val="clear" w:color="auto" w:fill="FFF046"/>
            <w:tcMar>
              <w:top w:w="60" w:type="dxa"/>
              <w:left w:w="60" w:type="dxa"/>
              <w:bottom w:w="60" w:type="dxa"/>
              <w:right w:w="60" w:type="dxa"/>
            </w:tcMar>
            <w:hideMark/>
          </w:tcPr>
          <w:p w14:paraId="52A13ECE"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8.9</w:t>
            </w:r>
          </w:p>
        </w:tc>
        <w:tc>
          <w:tcPr>
            <w:tcW w:w="802" w:type="dxa"/>
            <w:tcBorders>
              <w:top w:val="single" w:sz="6" w:space="0" w:color="000000"/>
              <w:left w:val="single" w:sz="6" w:space="0" w:color="000000"/>
              <w:bottom w:val="single" w:sz="6" w:space="0" w:color="000000"/>
              <w:right w:val="single" w:sz="6" w:space="0" w:color="000000"/>
            </w:tcBorders>
            <w:shd w:val="clear" w:color="auto" w:fill="FFF046"/>
            <w:tcMar>
              <w:top w:w="60" w:type="dxa"/>
              <w:left w:w="60" w:type="dxa"/>
              <w:bottom w:w="60" w:type="dxa"/>
              <w:right w:w="60" w:type="dxa"/>
            </w:tcMar>
            <w:hideMark/>
          </w:tcPr>
          <w:p w14:paraId="0EF344BF"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41.1</w:t>
            </w:r>
          </w:p>
        </w:tc>
        <w:tc>
          <w:tcPr>
            <w:tcW w:w="792" w:type="dxa"/>
            <w:tcBorders>
              <w:top w:val="single" w:sz="6" w:space="0" w:color="000000"/>
              <w:left w:val="single" w:sz="6" w:space="0" w:color="000000"/>
              <w:bottom w:val="single" w:sz="6" w:space="0" w:color="000000"/>
              <w:right w:val="single" w:sz="6" w:space="0" w:color="000000"/>
            </w:tcBorders>
            <w:shd w:val="clear" w:color="auto" w:fill="20A603"/>
            <w:tcMar>
              <w:top w:w="60" w:type="dxa"/>
              <w:left w:w="60" w:type="dxa"/>
              <w:bottom w:w="60" w:type="dxa"/>
              <w:right w:w="60" w:type="dxa"/>
            </w:tcMar>
            <w:hideMark/>
          </w:tcPr>
          <w:p w14:paraId="25A11A0C"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41.0</w:t>
            </w:r>
          </w:p>
        </w:tc>
        <w:tc>
          <w:tcPr>
            <w:tcW w:w="763" w:type="dxa"/>
            <w:tcBorders>
              <w:top w:val="single" w:sz="6" w:space="0" w:color="000000"/>
              <w:left w:val="single" w:sz="6" w:space="0" w:color="000000"/>
              <w:bottom w:val="single" w:sz="6" w:space="0" w:color="000000"/>
              <w:right w:val="single" w:sz="6" w:space="0" w:color="000000"/>
            </w:tcBorders>
            <w:shd w:val="clear" w:color="auto" w:fill="EC5C07"/>
            <w:tcMar>
              <w:top w:w="60" w:type="dxa"/>
              <w:left w:w="60" w:type="dxa"/>
              <w:bottom w:w="60" w:type="dxa"/>
              <w:right w:w="60" w:type="dxa"/>
            </w:tcMar>
            <w:hideMark/>
          </w:tcPr>
          <w:p w14:paraId="3070FCDA"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-35.0</w:t>
            </w:r>
          </w:p>
        </w:tc>
        <w:tc>
          <w:tcPr>
            <w:tcW w:w="790" w:type="dxa"/>
            <w:tcBorders>
              <w:top w:val="single" w:sz="6" w:space="0" w:color="000000"/>
              <w:left w:val="single" w:sz="6" w:space="0" w:color="000000"/>
              <w:bottom w:val="single" w:sz="6" w:space="0" w:color="000000"/>
              <w:right w:val="single" w:sz="6" w:space="0" w:color="000000"/>
            </w:tcBorders>
            <w:shd w:val="clear" w:color="auto" w:fill="20A603"/>
            <w:tcMar>
              <w:top w:w="60" w:type="dxa"/>
              <w:left w:w="60" w:type="dxa"/>
              <w:bottom w:w="60" w:type="dxa"/>
              <w:right w:w="60" w:type="dxa"/>
            </w:tcMar>
            <w:hideMark/>
          </w:tcPr>
          <w:p w14:paraId="79A0FD66"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3.6</w:t>
            </w:r>
          </w:p>
        </w:tc>
        <w:tc>
          <w:tcPr>
            <w:tcW w:w="746" w:type="dxa"/>
            <w:tcBorders>
              <w:top w:val="single" w:sz="6" w:space="0" w:color="000000"/>
              <w:left w:val="single" w:sz="6" w:space="0" w:color="000000"/>
              <w:bottom w:val="single" w:sz="6" w:space="0" w:color="000000"/>
              <w:right w:val="single" w:sz="6" w:space="0" w:color="000000"/>
            </w:tcBorders>
            <w:shd w:val="clear" w:color="auto" w:fill="E6000E"/>
            <w:tcMar>
              <w:top w:w="60" w:type="dxa"/>
              <w:left w:w="60" w:type="dxa"/>
              <w:bottom w:w="60" w:type="dxa"/>
              <w:right w:w="60" w:type="dxa"/>
            </w:tcMar>
            <w:hideMark/>
          </w:tcPr>
          <w:p w14:paraId="302639D3"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-31.7</w:t>
            </w:r>
          </w:p>
        </w:tc>
      </w:tr>
      <w:tr w:rsidR="00EC0F4F" w:rsidRPr="00362AED" w14:paraId="58B5A9BE" w14:textId="77777777" w:rsidTr="00EC0F4F">
        <w:trPr>
          <w:trHeight w:val="165"/>
        </w:trPr>
        <w:tc>
          <w:tcPr>
            <w:tcW w:w="43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B16B5E"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b/>
                <w:bCs/>
                <w:color w:val="000000"/>
                <w:sz w:val="15"/>
                <w:szCs w:val="15"/>
              </w:rPr>
              <w:t>2021 - 2022</w:t>
            </w:r>
          </w:p>
        </w:tc>
        <w:tc>
          <w:tcPr>
            <w:tcW w:w="929" w:type="dxa"/>
            <w:tcBorders>
              <w:top w:val="single" w:sz="6" w:space="0" w:color="000000"/>
              <w:left w:val="single" w:sz="6" w:space="0" w:color="000000"/>
              <w:bottom w:val="single" w:sz="6" w:space="0" w:color="000000"/>
              <w:right w:val="single" w:sz="6" w:space="0" w:color="000000"/>
            </w:tcBorders>
            <w:shd w:val="clear" w:color="auto" w:fill="E6000E"/>
            <w:tcMar>
              <w:top w:w="60" w:type="dxa"/>
              <w:left w:w="60" w:type="dxa"/>
              <w:bottom w:w="60" w:type="dxa"/>
              <w:right w:w="60" w:type="dxa"/>
            </w:tcMar>
            <w:hideMark/>
          </w:tcPr>
          <w:p w14:paraId="0470DCDA"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0.9</w:t>
            </w:r>
          </w:p>
        </w:tc>
        <w:tc>
          <w:tcPr>
            <w:tcW w:w="931" w:type="dxa"/>
            <w:tcBorders>
              <w:top w:val="single" w:sz="6" w:space="0" w:color="000000"/>
              <w:left w:val="single" w:sz="6" w:space="0" w:color="000000"/>
              <w:bottom w:val="single" w:sz="6" w:space="0" w:color="000000"/>
              <w:right w:val="single" w:sz="6" w:space="0" w:color="000000"/>
            </w:tcBorders>
            <w:shd w:val="clear" w:color="auto" w:fill="EC5C07"/>
            <w:tcMar>
              <w:top w:w="60" w:type="dxa"/>
              <w:left w:w="60" w:type="dxa"/>
              <w:bottom w:w="60" w:type="dxa"/>
              <w:right w:w="60" w:type="dxa"/>
            </w:tcMar>
            <w:hideMark/>
          </w:tcPr>
          <w:p w14:paraId="78D559A7"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2.3</w:t>
            </w:r>
          </w:p>
        </w:tc>
        <w:tc>
          <w:tcPr>
            <w:tcW w:w="982" w:type="dxa"/>
            <w:tcBorders>
              <w:top w:val="single" w:sz="6" w:space="0" w:color="000000"/>
              <w:left w:val="single" w:sz="6" w:space="0" w:color="000000"/>
              <w:bottom w:val="single" w:sz="6" w:space="0" w:color="000000"/>
              <w:right w:val="single" w:sz="6" w:space="0" w:color="000000"/>
            </w:tcBorders>
            <w:shd w:val="clear" w:color="auto" w:fill="E6000E"/>
            <w:tcMar>
              <w:top w:w="60" w:type="dxa"/>
              <w:left w:w="60" w:type="dxa"/>
              <w:bottom w:w="60" w:type="dxa"/>
              <w:right w:w="60" w:type="dxa"/>
            </w:tcMar>
            <w:hideMark/>
          </w:tcPr>
          <w:p w14:paraId="2BDD604B"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-6.1</w:t>
            </w:r>
          </w:p>
        </w:tc>
        <w:tc>
          <w:tcPr>
            <w:tcW w:w="90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6C3E40D"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1.4</w:t>
            </w:r>
          </w:p>
        </w:tc>
        <w:tc>
          <w:tcPr>
            <w:tcW w:w="80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410B984"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21.1</w:t>
            </w:r>
          </w:p>
        </w:tc>
        <w:tc>
          <w:tcPr>
            <w:tcW w:w="792" w:type="dxa"/>
            <w:tcBorders>
              <w:top w:val="single" w:sz="6" w:space="0" w:color="000000"/>
              <w:left w:val="single" w:sz="6" w:space="0" w:color="000000"/>
              <w:bottom w:val="single" w:sz="6" w:space="0" w:color="000000"/>
              <w:right w:val="single" w:sz="6" w:space="0" w:color="000000"/>
            </w:tcBorders>
            <w:shd w:val="clear" w:color="auto" w:fill="EC5C07"/>
            <w:tcMar>
              <w:top w:w="60" w:type="dxa"/>
              <w:left w:w="60" w:type="dxa"/>
              <w:bottom w:w="60" w:type="dxa"/>
              <w:right w:w="60" w:type="dxa"/>
            </w:tcMar>
            <w:hideMark/>
          </w:tcPr>
          <w:p w14:paraId="10A9BAEC"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2.6</w:t>
            </w:r>
          </w:p>
        </w:tc>
        <w:tc>
          <w:tcPr>
            <w:tcW w:w="763" w:type="dxa"/>
            <w:tcBorders>
              <w:top w:val="single" w:sz="6" w:space="0" w:color="000000"/>
              <w:left w:val="single" w:sz="6" w:space="0" w:color="000000"/>
              <w:bottom w:val="single" w:sz="6" w:space="0" w:color="000000"/>
              <w:right w:val="single" w:sz="6" w:space="0" w:color="000000"/>
            </w:tcBorders>
            <w:shd w:val="clear" w:color="auto" w:fill="E6000E"/>
            <w:tcMar>
              <w:top w:w="60" w:type="dxa"/>
              <w:left w:w="60" w:type="dxa"/>
              <w:bottom w:w="60" w:type="dxa"/>
              <w:right w:w="60" w:type="dxa"/>
            </w:tcMar>
            <w:hideMark/>
          </w:tcPr>
          <w:p w14:paraId="5A74AB87"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-37.4</w:t>
            </w:r>
          </w:p>
        </w:tc>
        <w:tc>
          <w:tcPr>
            <w:tcW w:w="790" w:type="dxa"/>
            <w:tcBorders>
              <w:top w:val="single" w:sz="6" w:space="0" w:color="000000"/>
              <w:left w:val="single" w:sz="6" w:space="0" w:color="000000"/>
              <w:bottom w:val="single" w:sz="6" w:space="0" w:color="000000"/>
              <w:right w:val="single" w:sz="6" w:space="0" w:color="000000"/>
            </w:tcBorders>
            <w:shd w:val="clear" w:color="auto" w:fill="FFF046"/>
            <w:tcMar>
              <w:top w:w="60" w:type="dxa"/>
              <w:left w:w="60" w:type="dxa"/>
              <w:bottom w:w="60" w:type="dxa"/>
              <w:right w:w="60" w:type="dxa"/>
            </w:tcMar>
            <w:hideMark/>
          </w:tcPr>
          <w:p w14:paraId="48E531EF"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1.5</w:t>
            </w:r>
          </w:p>
        </w:tc>
        <w:tc>
          <w:tcPr>
            <w:tcW w:w="7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BB97A23"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-21.9</w:t>
            </w:r>
          </w:p>
        </w:tc>
      </w:tr>
      <w:tr w:rsidR="00EC0F4F" w:rsidRPr="00362AED" w14:paraId="5C3C9043" w14:textId="77777777" w:rsidTr="00EC0F4F">
        <w:trPr>
          <w:trHeight w:val="165"/>
        </w:trPr>
        <w:tc>
          <w:tcPr>
            <w:tcW w:w="43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3DB89C"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b/>
                <w:bCs/>
                <w:color w:val="000000"/>
                <w:sz w:val="15"/>
                <w:szCs w:val="15"/>
              </w:rPr>
              <w:t>2022 - 2023</w:t>
            </w:r>
          </w:p>
        </w:tc>
        <w:tc>
          <w:tcPr>
            <w:tcW w:w="929" w:type="dxa"/>
            <w:tcBorders>
              <w:top w:val="single" w:sz="6" w:space="0" w:color="000000"/>
              <w:left w:val="single" w:sz="6" w:space="0" w:color="000000"/>
              <w:bottom w:val="single" w:sz="6" w:space="0" w:color="000000"/>
              <w:right w:val="single" w:sz="6" w:space="0" w:color="000000"/>
            </w:tcBorders>
            <w:shd w:val="clear" w:color="auto" w:fill="FFF046"/>
            <w:tcMar>
              <w:top w:w="60" w:type="dxa"/>
              <w:left w:w="60" w:type="dxa"/>
              <w:bottom w:w="60" w:type="dxa"/>
              <w:right w:w="60" w:type="dxa"/>
            </w:tcMar>
            <w:hideMark/>
          </w:tcPr>
          <w:p w14:paraId="76E029A9"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11.6</w:t>
            </w:r>
          </w:p>
        </w:tc>
        <w:tc>
          <w:tcPr>
            <w:tcW w:w="931" w:type="dxa"/>
            <w:tcBorders>
              <w:top w:val="single" w:sz="6" w:space="0" w:color="000000"/>
              <w:left w:val="single" w:sz="6" w:space="0" w:color="000000"/>
              <w:bottom w:val="single" w:sz="6" w:space="0" w:color="000000"/>
              <w:right w:val="single" w:sz="6" w:space="0" w:color="000000"/>
            </w:tcBorders>
            <w:shd w:val="clear" w:color="auto" w:fill="FFF046"/>
            <w:tcMar>
              <w:top w:w="60" w:type="dxa"/>
              <w:left w:w="60" w:type="dxa"/>
              <w:bottom w:w="60" w:type="dxa"/>
              <w:right w:w="60" w:type="dxa"/>
            </w:tcMar>
            <w:hideMark/>
          </w:tcPr>
          <w:p w14:paraId="10AB354E"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9.6</w:t>
            </w:r>
          </w:p>
        </w:tc>
        <w:tc>
          <w:tcPr>
            <w:tcW w:w="982" w:type="dxa"/>
            <w:tcBorders>
              <w:top w:val="single" w:sz="6" w:space="0" w:color="000000"/>
              <w:left w:val="single" w:sz="6" w:space="0" w:color="000000"/>
              <w:bottom w:val="single" w:sz="6" w:space="0" w:color="000000"/>
              <w:right w:val="single" w:sz="6" w:space="0" w:color="000000"/>
            </w:tcBorders>
            <w:shd w:val="clear" w:color="auto" w:fill="FFF046"/>
            <w:tcMar>
              <w:top w:w="60" w:type="dxa"/>
              <w:left w:w="60" w:type="dxa"/>
              <w:bottom w:w="60" w:type="dxa"/>
              <w:right w:w="60" w:type="dxa"/>
            </w:tcMar>
            <w:hideMark/>
          </w:tcPr>
          <w:p w14:paraId="13289D06"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11.7</w:t>
            </w:r>
          </w:p>
        </w:tc>
        <w:tc>
          <w:tcPr>
            <w:tcW w:w="907" w:type="dxa"/>
            <w:tcBorders>
              <w:top w:val="single" w:sz="6" w:space="0" w:color="000000"/>
              <w:left w:val="single" w:sz="6" w:space="0" w:color="000000"/>
              <w:bottom w:val="single" w:sz="6" w:space="0" w:color="000000"/>
              <w:right w:val="single" w:sz="6" w:space="0" w:color="000000"/>
            </w:tcBorders>
            <w:shd w:val="clear" w:color="auto" w:fill="EC5C07"/>
            <w:tcMar>
              <w:top w:w="60" w:type="dxa"/>
              <w:left w:w="60" w:type="dxa"/>
              <w:bottom w:w="60" w:type="dxa"/>
              <w:right w:w="60" w:type="dxa"/>
            </w:tcMar>
            <w:hideMark/>
          </w:tcPr>
          <w:p w14:paraId="181C9EB0"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-9.6</w:t>
            </w:r>
          </w:p>
        </w:tc>
        <w:tc>
          <w:tcPr>
            <w:tcW w:w="802" w:type="dxa"/>
            <w:tcBorders>
              <w:top w:val="single" w:sz="6" w:space="0" w:color="000000"/>
              <w:left w:val="single" w:sz="6" w:space="0" w:color="000000"/>
              <w:bottom w:val="single" w:sz="6" w:space="0" w:color="000000"/>
              <w:right w:val="single" w:sz="6" w:space="0" w:color="000000"/>
            </w:tcBorders>
            <w:shd w:val="clear" w:color="auto" w:fill="20A603"/>
            <w:tcMar>
              <w:top w:w="60" w:type="dxa"/>
              <w:left w:w="60" w:type="dxa"/>
              <w:bottom w:w="60" w:type="dxa"/>
              <w:right w:w="60" w:type="dxa"/>
            </w:tcMar>
            <w:hideMark/>
          </w:tcPr>
          <w:p w14:paraId="1D007F8F"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41.9</w:t>
            </w:r>
          </w:p>
        </w:tc>
        <w:tc>
          <w:tcPr>
            <w:tcW w:w="792" w:type="dxa"/>
            <w:tcBorders>
              <w:top w:val="single" w:sz="6" w:space="0" w:color="000000"/>
              <w:left w:val="single" w:sz="6" w:space="0" w:color="000000"/>
              <w:bottom w:val="single" w:sz="6" w:space="0" w:color="000000"/>
              <w:right w:val="single" w:sz="6" w:space="0" w:color="000000"/>
            </w:tcBorders>
            <w:shd w:val="clear" w:color="auto" w:fill="FFF046"/>
            <w:tcMar>
              <w:top w:w="60" w:type="dxa"/>
              <w:left w:w="60" w:type="dxa"/>
              <w:bottom w:w="60" w:type="dxa"/>
              <w:right w:w="60" w:type="dxa"/>
            </w:tcMar>
            <w:hideMark/>
          </w:tcPr>
          <w:p w14:paraId="372A5E93"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26.0</w:t>
            </w:r>
          </w:p>
        </w:tc>
        <w:tc>
          <w:tcPr>
            <w:tcW w:w="76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F7B0E22"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-33.6</w:t>
            </w:r>
          </w:p>
        </w:tc>
        <w:tc>
          <w:tcPr>
            <w:tcW w:w="790" w:type="dxa"/>
            <w:tcBorders>
              <w:top w:val="single" w:sz="6" w:space="0" w:color="000000"/>
              <w:left w:val="single" w:sz="6" w:space="0" w:color="000000"/>
              <w:bottom w:val="single" w:sz="6" w:space="0" w:color="000000"/>
              <w:right w:val="single" w:sz="6" w:space="0" w:color="000000"/>
            </w:tcBorders>
            <w:shd w:val="clear" w:color="auto" w:fill="E6000E"/>
            <w:tcMar>
              <w:top w:w="60" w:type="dxa"/>
              <w:left w:w="60" w:type="dxa"/>
              <w:bottom w:w="60" w:type="dxa"/>
              <w:right w:w="60" w:type="dxa"/>
            </w:tcMar>
            <w:hideMark/>
          </w:tcPr>
          <w:p w14:paraId="5EDA1B4C"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-46.5</w:t>
            </w:r>
          </w:p>
        </w:tc>
        <w:tc>
          <w:tcPr>
            <w:tcW w:w="746" w:type="dxa"/>
            <w:tcBorders>
              <w:top w:val="single" w:sz="6" w:space="0" w:color="000000"/>
              <w:left w:val="single" w:sz="6" w:space="0" w:color="000000"/>
              <w:bottom w:val="single" w:sz="6" w:space="0" w:color="000000"/>
              <w:right w:val="single" w:sz="6" w:space="0" w:color="000000"/>
            </w:tcBorders>
            <w:shd w:val="clear" w:color="auto" w:fill="EC5C07"/>
            <w:tcMar>
              <w:top w:w="60" w:type="dxa"/>
              <w:left w:w="60" w:type="dxa"/>
              <w:bottom w:w="60" w:type="dxa"/>
              <w:right w:w="60" w:type="dxa"/>
            </w:tcMar>
            <w:hideMark/>
          </w:tcPr>
          <w:p w14:paraId="7056107E"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-25.5</w:t>
            </w:r>
          </w:p>
        </w:tc>
      </w:tr>
      <w:tr w:rsidR="00EC0F4F" w:rsidRPr="00362AED" w14:paraId="452C464C" w14:textId="77777777" w:rsidTr="00EC0F4F">
        <w:trPr>
          <w:trHeight w:val="165"/>
        </w:trPr>
        <w:tc>
          <w:tcPr>
            <w:tcW w:w="43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773CCC"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b/>
                <w:bCs/>
                <w:color w:val="000000"/>
                <w:sz w:val="15"/>
                <w:szCs w:val="15"/>
              </w:rPr>
              <w:t>2023 - 2024</w:t>
            </w:r>
          </w:p>
        </w:tc>
        <w:tc>
          <w:tcPr>
            <w:tcW w:w="92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B642B82"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6.5</w:t>
            </w:r>
          </w:p>
        </w:tc>
        <w:tc>
          <w:tcPr>
            <w:tcW w:w="931" w:type="dxa"/>
            <w:tcBorders>
              <w:top w:val="single" w:sz="6" w:space="0" w:color="000000"/>
              <w:left w:val="single" w:sz="6" w:space="0" w:color="000000"/>
              <w:bottom w:val="single" w:sz="6" w:space="0" w:color="000000"/>
              <w:right w:val="single" w:sz="6" w:space="0" w:color="000000"/>
            </w:tcBorders>
            <w:shd w:val="clear" w:color="auto" w:fill="E6000E"/>
            <w:tcMar>
              <w:top w:w="60" w:type="dxa"/>
              <w:left w:w="60" w:type="dxa"/>
              <w:bottom w:w="60" w:type="dxa"/>
              <w:right w:w="60" w:type="dxa"/>
            </w:tcMar>
            <w:hideMark/>
          </w:tcPr>
          <w:p w14:paraId="7CE60C6A"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1.6</w:t>
            </w:r>
          </w:p>
        </w:tc>
        <w:tc>
          <w:tcPr>
            <w:tcW w:w="982" w:type="dxa"/>
            <w:tcBorders>
              <w:top w:val="single" w:sz="6" w:space="0" w:color="000000"/>
              <w:left w:val="single" w:sz="6" w:space="0" w:color="000000"/>
              <w:bottom w:val="single" w:sz="6" w:space="0" w:color="000000"/>
              <w:right w:val="single" w:sz="6" w:space="0" w:color="000000"/>
            </w:tcBorders>
            <w:shd w:val="clear" w:color="auto" w:fill="EC5C07"/>
            <w:tcMar>
              <w:top w:w="60" w:type="dxa"/>
              <w:left w:w="60" w:type="dxa"/>
              <w:bottom w:w="60" w:type="dxa"/>
              <w:right w:w="60" w:type="dxa"/>
            </w:tcMar>
            <w:hideMark/>
          </w:tcPr>
          <w:p w14:paraId="207737D2"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-1.3</w:t>
            </w:r>
          </w:p>
        </w:tc>
        <w:tc>
          <w:tcPr>
            <w:tcW w:w="907" w:type="dxa"/>
            <w:tcBorders>
              <w:top w:val="single" w:sz="6" w:space="0" w:color="000000"/>
              <w:left w:val="single" w:sz="6" w:space="0" w:color="000000"/>
              <w:bottom w:val="single" w:sz="6" w:space="0" w:color="000000"/>
              <w:right w:val="single" w:sz="6" w:space="0" w:color="000000"/>
            </w:tcBorders>
            <w:shd w:val="clear" w:color="auto" w:fill="20A603"/>
            <w:tcMar>
              <w:top w:w="60" w:type="dxa"/>
              <w:left w:w="60" w:type="dxa"/>
              <w:bottom w:w="60" w:type="dxa"/>
              <w:right w:w="60" w:type="dxa"/>
            </w:tcMar>
            <w:hideMark/>
          </w:tcPr>
          <w:p w14:paraId="18A529C4"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10.2</w:t>
            </w:r>
          </w:p>
        </w:tc>
        <w:tc>
          <w:tcPr>
            <w:tcW w:w="802" w:type="dxa"/>
            <w:tcBorders>
              <w:top w:val="single" w:sz="6" w:space="0" w:color="000000"/>
              <w:left w:val="single" w:sz="6" w:space="0" w:color="000000"/>
              <w:bottom w:val="single" w:sz="6" w:space="0" w:color="000000"/>
              <w:right w:val="single" w:sz="6" w:space="0" w:color="000000"/>
            </w:tcBorders>
            <w:shd w:val="clear" w:color="auto" w:fill="EC5C07"/>
            <w:tcMar>
              <w:top w:w="60" w:type="dxa"/>
              <w:left w:w="60" w:type="dxa"/>
              <w:bottom w:w="60" w:type="dxa"/>
              <w:right w:w="60" w:type="dxa"/>
            </w:tcMar>
            <w:hideMark/>
          </w:tcPr>
          <w:p w14:paraId="133FF9B4"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16.5</w:t>
            </w:r>
          </w:p>
        </w:tc>
        <w:tc>
          <w:tcPr>
            <w:tcW w:w="792" w:type="dxa"/>
            <w:tcBorders>
              <w:top w:val="single" w:sz="6" w:space="0" w:color="000000"/>
              <w:left w:val="single" w:sz="6" w:space="0" w:color="000000"/>
              <w:bottom w:val="single" w:sz="6" w:space="0" w:color="000000"/>
              <w:right w:val="single" w:sz="6" w:space="0" w:color="000000"/>
            </w:tcBorders>
            <w:shd w:val="clear" w:color="auto" w:fill="E6000E"/>
            <w:tcMar>
              <w:top w:w="60" w:type="dxa"/>
              <w:left w:w="60" w:type="dxa"/>
              <w:bottom w:w="60" w:type="dxa"/>
              <w:right w:w="60" w:type="dxa"/>
            </w:tcMar>
            <w:hideMark/>
          </w:tcPr>
          <w:p w14:paraId="185B3C65"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-9.0</w:t>
            </w:r>
          </w:p>
        </w:tc>
        <w:tc>
          <w:tcPr>
            <w:tcW w:w="763" w:type="dxa"/>
            <w:tcBorders>
              <w:top w:val="single" w:sz="6" w:space="0" w:color="000000"/>
              <w:left w:val="single" w:sz="6" w:space="0" w:color="000000"/>
              <w:bottom w:val="single" w:sz="6" w:space="0" w:color="000000"/>
              <w:right w:val="single" w:sz="6" w:space="0" w:color="000000"/>
            </w:tcBorders>
            <w:shd w:val="clear" w:color="auto" w:fill="FFF046"/>
            <w:tcMar>
              <w:top w:w="60" w:type="dxa"/>
              <w:left w:w="60" w:type="dxa"/>
              <w:bottom w:w="60" w:type="dxa"/>
              <w:right w:w="60" w:type="dxa"/>
            </w:tcMar>
            <w:hideMark/>
          </w:tcPr>
          <w:p w14:paraId="7F28A589"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17.3</w:t>
            </w:r>
          </w:p>
        </w:tc>
        <w:tc>
          <w:tcPr>
            <w:tcW w:w="790" w:type="dxa"/>
            <w:tcBorders>
              <w:top w:val="single" w:sz="6" w:space="0" w:color="000000"/>
              <w:left w:val="single" w:sz="6" w:space="0" w:color="000000"/>
              <w:bottom w:val="single" w:sz="6" w:space="0" w:color="000000"/>
              <w:right w:val="single" w:sz="6" w:space="0" w:color="000000"/>
            </w:tcBorders>
            <w:shd w:val="clear" w:color="auto" w:fill="EC5C07"/>
            <w:tcMar>
              <w:top w:w="60" w:type="dxa"/>
              <w:left w:w="60" w:type="dxa"/>
              <w:bottom w:w="60" w:type="dxa"/>
              <w:right w:w="60" w:type="dxa"/>
            </w:tcMar>
            <w:hideMark/>
          </w:tcPr>
          <w:p w14:paraId="55637779"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-16.6</w:t>
            </w:r>
          </w:p>
        </w:tc>
        <w:tc>
          <w:tcPr>
            <w:tcW w:w="746" w:type="dxa"/>
            <w:tcBorders>
              <w:top w:val="single" w:sz="6" w:space="0" w:color="000000"/>
              <w:left w:val="single" w:sz="6" w:space="0" w:color="000000"/>
              <w:bottom w:val="single" w:sz="6" w:space="0" w:color="000000"/>
              <w:right w:val="single" w:sz="6" w:space="0" w:color="000000"/>
            </w:tcBorders>
            <w:shd w:val="clear" w:color="auto" w:fill="FFF046"/>
            <w:tcMar>
              <w:top w:w="60" w:type="dxa"/>
              <w:left w:w="60" w:type="dxa"/>
              <w:bottom w:w="60" w:type="dxa"/>
              <w:right w:w="60" w:type="dxa"/>
            </w:tcMar>
            <w:hideMark/>
          </w:tcPr>
          <w:p w14:paraId="63EB3CCA"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2.8</w:t>
            </w:r>
          </w:p>
        </w:tc>
      </w:tr>
      <w:tr w:rsidR="00EC0F4F" w:rsidRPr="00362AED" w14:paraId="778D06B3" w14:textId="77777777" w:rsidTr="00EC0F4F">
        <w:trPr>
          <w:trHeight w:val="165"/>
        </w:trPr>
        <w:tc>
          <w:tcPr>
            <w:tcW w:w="43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91BDCE"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b/>
                <w:bCs/>
                <w:color w:val="000000"/>
                <w:sz w:val="15"/>
                <w:szCs w:val="15"/>
              </w:rPr>
              <w:t>2024 - 2025</w:t>
            </w:r>
          </w:p>
        </w:tc>
        <w:tc>
          <w:tcPr>
            <w:tcW w:w="929" w:type="dxa"/>
            <w:tcBorders>
              <w:top w:val="single" w:sz="6" w:space="0" w:color="000000"/>
              <w:left w:val="single" w:sz="6" w:space="0" w:color="000000"/>
              <w:bottom w:val="single" w:sz="6" w:space="0" w:color="000000"/>
              <w:right w:val="single" w:sz="6" w:space="0" w:color="000000"/>
            </w:tcBorders>
            <w:shd w:val="clear" w:color="auto" w:fill="EC5C07"/>
            <w:tcMar>
              <w:top w:w="60" w:type="dxa"/>
              <w:left w:w="60" w:type="dxa"/>
              <w:bottom w:w="60" w:type="dxa"/>
              <w:right w:w="60" w:type="dxa"/>
            </w:tcMar>
            <w:hideMark/>
          </w:tcPr>
          <w:p w14:paraId="482B6CC4"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4.9</w:t>
            </w:r>
          </w:p>
        </w:tc>
        <w:tc>
          <w:tcPr>
            <w:tcW w:w="93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4F86861"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3.7</w:t>
            </w:r>
          </w:p>
        </w:tc>
        <w:tc>
          <w:tcPr>
            <w:tcW w:w="98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8C92E87"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1.5</w:t>
            </w:r>
          </w:p>
        </w:tc>
        <w:tc>
          <w:tcPr>
            <w:tcW w:w="907" w:type="dxa"/>
            <w:tcBorders>
              <w:top w:val="single" w:sz="6" w:space="0" w:color="000000"/>
              <w:left w:val="single" w:sz="6" w:space="0" w:color="000000"/>
              <w:bottom w:val="single" w:sz="6" w:space="0" w:color="000000"/>
              <w:right w:val="single" w:sz="6" w:space="0" w:color="000000"/>
            </w:tcBorders>
            <w:shd w:val="clear" w:color="auto" w:fill="E6000E"/>
            <w:tcMar>
              <w:top w:w="60" w:type="dxa"/>
              <w:left w:w="60" w:type="dxa"/>
              <w:bottom w:w="60" w:type="dxa"/>
              <w:right w:w="60" w:type="dxa"/>
            </w:tcMar>
            <w:hideMark/>
          </w:tcPr>
          <w:p w14:paraId="290AA9FD"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-13.4</w:t>
            </w:r>
          </w:p>
        </w:tc>
        <w:tc>
          <w:tcPr>
            <w:tcW w:w="802" w:type="dxa"/>
            <w:tcBorders>
              <w:top w:val="single" w:sz="6" w:space="0" w:color="000000"/>
              <w:left w:val="single" w:sz="6" w:space="0" w:color="000000"/>
              <w:bottom w:val="single" w:sz="6" w:space="0" w:color="000000"/>
              <w:right w:val="single" w:sz="6" w:space="0" w:color="000000"/>
            </w:tcBorders>
            <w:shd w:val="clear" w:color="auto" w:fill="E6000E"/>
            <w:tcMar>
              <w:top w:w="60" w:type="dxa"/>
              <w:left w:w="60" w:type="dxa"/>
              <w:bottom w:w="60" w:type="dxa"/>
              <w:right w:w="60" w:type="dxa"/>
            </w:tcMar>
            <w:hideMark/>
          </w:tcPr>
          <w:p w14:paraId="19282A8D"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10.6</w:t>
            </w:r>
          </w:p>
        </w:tc>
        <w:tc>
          <w:tcPr>
            <w:tcW w:w="7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4F51C52"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8.3</w:t>
            </w:r>
          </w:p>
        </w:tc>
        <w:tc>
          <w:tcPr>
            <w:tcW w:w="763" w:type="dxa"/>
            <w:tcBorders>
              <w:top w:val="single" w:sz="6" w:space="0" w:color="000000"/>
              <w:left w:val="single" w:sz="6" w:space="0" w:color="000000"/>
              <w:bottom w:val="single" w:sz="6" w:space="0" w:color="000000"/>
              <w:right w:val="single" w:sz="6" w:space="0" w:color="000000"/>
            </w:tcBorders>
            <w:shd w:val="clear" w:color="auto" w:fill="20A603"/>
            <w:tcMar>
              <w:top w:w="60" w:type="dxa"/>
              <w:left w:w="60" w:type="dxa"/>
              <w:bottom w:w="60" w:type="dxa"/>
              <w:right w:w="60" w:type="dxa"/>
            </w:tcMar>
            <w:hideMark/>
          </w:tcPr>
          <w:p w14:paraId="3A4C3900"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36.7</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9338C38"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-9.1</w:t>
            </w:r>
          </w:p>
        </w:tc>
        <w:tc>
          <w:tcPr>
            <w:tcW w:w="746" w:type="dxa"/>
            <w:tcBorders>
              <w:top w:val="single" w:sz="6" w:space="0" w:color="000000"/>
              <w:left w:val="single" w:sz="6" w:space="0" w:color="000000"/>
              <w:bottom w:val="single" w:sz="6" w:space="0" w:color="000000"/>
              <w:right w:val="single" w:sz="6" w:space="0" w:color="000000"/>
            </w:tcBorders>
            <w:shd w:val="clear" w:color="auto" w:fill="20A603"/>
            <w:tcMar>
              <w:top w:w="60" w:type="dxa"/>
              <w:left w:w="60" w:type="dxa"/>
              <w:bottom w:w="60" w:type="dxa"/>
              <w:right w:w="60" w:type="dxa"/>
            </w:tcMar>
            <w:hideMark/>
          </w:tcPr>
          <w:p w14:paraId="6997044D" w14:textId="77777777" w:rsidR="00EC0F4F" w:rsidRPr="00362AED" w:rsidRDefault="00EC0F4F" w:rsidP="001B4EF5">
            <w:pPr>
              <w:spacing w:after="0" w:line="240" w:lineRule="auto"/>
              <w:rPr>
                <w:rFonts w:ascii="Times New Roman" w:eastAsia="Times New Roman" w:hAnsi="Times New Roman" w:cs="Times New Roman"/>
                <w:sz w:val="24"/>
                <w:szCs w:val="24"/>
              </w:rPr>
            </w:pPr>
            <w:r w:rsidRPr="00362AED">
              <w:rPr>
                <w:rFonts w:ascii="Helvetica Neue" w:eastAsia="Times New Roman" w:hAnsi="Helvetica Neue" w:cs="Times New Roman"/>
                <w:color w:val="000000"/>
                <w:sz w:val="15"/>
                <w:szCs w:val="15"/>
              </w:rPr>
              <w:t>13.6</w:t>
            </w:r>
          </w:p>
        </w:tc>
      </w:tr>
    </w:tbl>
    <w:p w14:paraId="14EE97C3" w14:textId="7E72CD66" w:rsidR="00362AED" w:rsidRPr="003E735A" w:rsidRDefault="0039690B" w:rsidP="00362AED">
      <w:pPr>
        <w:rPr>
          <w:i/>
          <w:iCs/>
        </w:rPr>
        <w:sectPr w:rsidR="00362AED" w:rsidRPr="003E735A" w:rsidSect="00362AED">
          <w:type w:val="continuous"/>
          <w:pgSz w:w="12240" w:h="15840"/>
          <w:pgMar w:top="1440" w:right="1800" w:bottom="1440" w:left="1800" w:header="720" w:footer="720" w:gutter="0"/>
          <w:cols w:space="720"/>
          <w:docGrid w:linePitch="360"/>
        </w:sectPr>
      </w:pPr>
      <w:r>
        <w:rPr>
          <w:i/>
          <w:iCs/>
        </w:rPr>
        <w:t>Margin Comparison Over the Year</w:t>
      </w:r>
    </w:p>
    <w:p w14:paraId="0B79EAF8" w14:textId="77777777" w:rsidR="00A45E8E" w:rsidRDefault="00A45E8E" w:rsidP="00227DDD"/>
    <w:tbl>
      <w:tblPr>
        <w:tblW w:w="0" w:type="auto"/>
        <w:tblCellMar>
          <w:left w:w="0" w:type="dxa"/>
          <w:right w:w="0" w:type="dxa"/>
        </w:tblCellMar>
        <w:tblLook w:val="04A0" w:firstRow="1" w:lastRow="0" w:firstColumn="1" w:lastColumn="0" w:noHBand="0" w:noVBand="1"/>
      </w:tblPr>
      <w:tblGrid>
        <w:gridCol w:w="705"/>
        <w:gridCol w:w="690"/>
        <w:gridCol w:w="705"/>
        <w:gridCol w:w="705"/>
        <w:gridCol w:w="1230"/>
      </w:tblGrid>
      <w:tr w:rsidR="003E3408" w:rsidRPr="003E3408" w14:paraId="0676BAF6" w14:textId="77777777" w:rsidTr="003E3408">
        <w:trPr>
          <w:trHeight w:val="165"/>
        </w:trPr>
        <w:tc>
          <w:tcPr>
            <w:tcW w:w="4035" w:type="dxa"/>
            <w:gridSpan w:val="5"/>
            <w:tcBorders>
              <w:top w:val="single" w:sz="6" w:space="0" w:color="000000"/>
              <w:left w:val="single" w:sz="6" w:space="0" w:color="000000"/>
              <w:bottom w:val="single" w:sz="6" w:space="0" w:color="000000"/>
              <w:right w:val="single" w:sz="6" w:space="0" w:color="000000"/>
            </w:tcBorders>
            <w:shd w:val="clear" w:color="auto" w:fill="A0A4A3"/>
            <w:tcMar>
              <w:top w:w="60" w:type="dxa"/>
              <w:left w:w="60" w:type="dxa"/>
              <w:bottom w:w="60" w:type="dxa"/>
              <w:right w:w="60" w:type="dxa"/>
            </w:tcMar>
            <w:hideMark/>
          </w:tcPr>
          <w:p w14:paraId="17ADED56" w14:textId="77777777" w:rsidR="003E3408" w:rsidRPr="003E3408" w:rsidRDefault="003E3408" w:rsidP="003E3408">
            <w:pPr>
              <w:spacing w:after="0" w:line="240" w:lineRule="auto"/>
              <w:jc w:val="center"/>
              <w:rPr>
                <w:rFonts w:ascii="Times New Roman" w:eastAsia="Times New Roman" w:hAnsi="Times New Roman" w:cs="Times New Roman"/>
                <w:sz w:val="24"/>
                <w:szCs w:val="24"/>
              </w:rPr>
            </w:pPr>
            <w:r w:rsidRPr="003E3408">
              <w:rPr>
                <w:rFonts w:ascii="Helvetica Neue" w:eastAsia="Times New Roman" w:hAnsi="Helvetica Neue" w:cs="Times New Roman"/>
                <w:b/>
                <w:bCs/>
                <w:color w:val="000000"/>
                <w:sz w:val="15"/>
                <w:szCs w:val="15"/>
              </w:rPr>
              <w:t>RANKING KEY</w:t>
            </w:r>
          </w:p>
        </w:tc>
      </w:tr>
      <w:tr w:rsidR="003E3408" w:rsidRPr="003E3408" w14:paraId="44F04862" w14:textId="77777777" w:rsidTr="003E3408">
        <w:trPr>
          <w:trHeight w:val="345"/>
        </w:trPr>
        <w:tc>
          <w:tcPr>
            <w:tcW w:w="705" w:type="dxa"/>
            <w:tcBorders>
              <w:top w:val="single" w:sz="6" w:space="0" w:color="000000"/>
              <w:left w:val="single" w:sz="6" w:space="0" w:color="000000"/>
              <w:bottom w:val="single" w:sz="6" w:space="0" w:color="000000"/>
              <w:right w:val="single" w:sz="6" w:space="0" w:color="000000"/>
            </w:tcBorders>
            <w:shd w:val="clear" w:color="auto" w:fill="209A06"/>
            <w:tcMar>
              <w:top w:w="60" w:type="dxa"/>
              <w:left w:w="60" w:type="dxa"/>
              <w:bottom w:w="60" w:type="dxa"/>
              <w:right w:w="60" w:type="dxa"/>
            </w:tcMar>
            <w:hideMark/>
          </w:tcPr>
          <w:p w14:paraId="13EF241F" w14:textId="77777777" w:rsidR="003E3408" w:rsidRPr="003E3408" w:rsidRDefault="003E3408" w:rsidP="003E3408">
            <w:pPr>
              <w:spacing w:after="0" w:line="240" w:lineRule="auto"/>
              <w:rPr>
                <w:rFonts w:ascii="Times New Roman" w:eastAsia="Times New Roman" w:hAnsi="Times New Roman" w:cs="Times New Roman"/>
                <w:sz w:val="24"/>
                <w:szCs w:val="24"/>
              </w:rPr>
            </w:pPr>
            <w:r w:rsidRPr="003E3408">
              <w:rPr>
                <w:rFonts w:ascii="Helvetica Neue" w:eastAsia="Times New Roman" w:hAnsi="Helvetica Neue" w:cs="Times New Roman"/>
                <w:color w:val="000000"/>
                <w:sz w:val="15"/>
                <w:szCs w:val="15"/>
              </w:rPr>
              <w:t>#1 Ranking</w:t>
            </w:r>
          </w:p>
        </w:tc>
        <w:tc>
          <w:tcPr>
            <w:tcW w:w="690" w:type="dxa"/>
            <w:tcBorders>
              <w:top w:val="single" w:sz="6" w:space="0" w:color="000000"/>
              <w:left w:val="single" w:sz="6" w:space="0" w:color="000000"/>
              <w:bottom w:val="single" w:sz="6" w:space="0" w:color="000000"/>
              <w:right w:val="single" w:sz="6" w:space="0" w:color="000000"/>
            </w:tcBorders>
            <w:shd w:val="clear" w:color="auto" w:fill="FFF037"/>
            <w:tcMar>
              <w:top w:w="60" w:type="dxa"/>
              <w:left w:w="60" w:type="dxa"/>
              <w:bottom w:w="60" w:type="dxa"/>
              <w:right w:w="60" w:type="dxa"/>
            </w:tcMar>
            <w:hideMark/>
          </w:tcPr>
          <w:p w14:paraId="584967F1" w14:textId="77777777" w:rsidR="003E3408" w:rsidRPr="003E3408" w:rsidRDefault="003E3408" w:rsidP="003E3408">
            <w:pPr>
              <w:spacing w:after="0" w:line="240" w:lineRule="auto"/>
              <w:rPr>
                <w:rFonts w:ascii="Times New Roman" w:eastAsia="Times New Roman" w:hAnsi="Times New Roman" w:cs="Times New Roman"/>
                <w:sz w:val="24"/>
                <w:szCs w:val="24"/>
              </w:rPr>
            </w:pPr>
            <w:r w:rsidRPr="003E3408">
              <w:rPr>
                <w:rFonts w:ascii="Helvetica Neue" w:eastAsia="Times New Roman" w:hAnsi="Helvetica Neue" w:cs="Times New Roman"/>
                <w:color w:val="000000"/>
                <w:sz w:val="15"/>
                <w:szCs w:val="15"/>
              </w:rPr>
              <w:t>#2 Ranking</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25689D" w14:textId="77777777" w:rsidR="003E3408" w:rsidRPr="003E3408" w:rsidRDefault="003E3408" w:rsidP="003E3408">
            <w:pPr>
              <w:spacing w:after="0" w:line="240" w:lineRule="auto"/>
              <w:rPr>
                <w:rFonts w:ascii="Times New Roman" w:eastAsia="Times New Roman" w:hAnsi="Times New Roman" w:cs="Times New Roman"/>
                <w:sz w:val="24"/>
                <w:szCs w:val="24"/>
              </w:rPr>
            </w:pPr>
            <w:r w:rsidRPr="003E3408">
              <w:rPr>
                <w:rFonts w:ascii="Helvetica Neue" w:eastAsia="Times New Roman" w:hAnsi="Helvetica Neue" w:cs="Times New Roman"/>
                <w:color w:val="000000"/>
                <w:sz w:val="15"/>
                <w:szCs w:val="15"/>
              </w:rPr>
              <w:t>#3 Ranking</w:t>
            </w:r>
          </w:p>
        </w:tc>
        <w:tc>
          <w:tcPr>
            <w:tcW w:w="705" w:type="dxa"/>
            <w:tcBorders>
              <w:top w:val="single" w:sz="6" w:space="0" w:color="000000"/>
              <w:left w:val="single" w:sz="6" w:space="0" w:color="000000"/>
              <w:bottom w:val="single" w:sz="6" w:space="0" w:color="000000"/>
              <w:right w:val="single" w:sz="6" w:space="0" w:color="000000"/>
            </w:tcBorders>
            <w:shd w:val="clear" w:color="auto" w:fill="E4450B"/>
            <w:tcMar>
              <w:top w:w="60" w:type="dxa"/>
              <w:left w:w="60" w:type="dxa"/>
              <w:bottom w:w="60" w:type="dxa"/>
              <w:right w:w="60" w:type="dxa"/>
            </w:tcMar>
            <w:hideMark/>
          </w:tcPr>
          <w:p w14:paraId="1D2AFD45" w14:textId="77777777" w:rsidR="003E3408" w:rsidRPr="003E3408" w:rsidRDefault="003E3408" w:rsidP="003E3408">
            <w:pPr>
              <w:spacing w:after="0" w:line="240" w:lineRule="auto"/>
              <w:rPr>
                <w:rFonts w:ascii="Times New Roman" w:eastAsia="Times New Roman" w:hAnsi="Times New Roman" w:cs="Times New Roman"/>
                <w:sz w:val="24"/>
                <w:szCs w:val="24"/>
              </w:rPr>
            </w:pPr>
            <w:r w:rsidRPr="003E3408">
              <w:rPr>
                <w:rFonts w:ascii="Helvetica Neue" w:eastAsia="Times New Roman" w:hAnsi="Helvetica Neue" w:cs="Times New Roman"/>
                <w:color w:val="000000"/>
                <w:sz w:val="15"/>
                <w:szCs w:val="15"/>
              </w:rPr>
              <w:t>#4 Ranking</w:t>
            </w:r>
          </w:p>
        </w:tc>
        <w:tc>
          <w:tcPr>
            <w:tcW w:w="690" w:type="dxa"/>
            <w:tcBorders>
              <w:top w:val="single" w:sz="6" w:space="0" w:color="000000"/>
              <w:left w:val="single" w:sz="6" w:space="0" w:color="000000"/>
              <w:bottom w:val="single" w:sz="6" w:space="0" w:color="000000"/>
              <w:right w:val="single" w:sz="6" w:space="0" w:color="000000"/>
            </w:tcBorders>
            <w:shd w:val="clear" w:color="auto" w:fill="DD000E"/>
            <w:tcMar>
              <w:top w:w="60" w:type="dxa"/>
              <w:left w:w="60" w:type="dxa"/>
              <w:bottom w:w="60" w:type="dxa"/>
              <w:right w:w="60" w:type="dxa"/>
            </w:tcMar>
            <w:hideMark/>
          </w:tcPr>
          <w:p w14:paraId="1542F651" w14:textId="77777777" w:rsidR="003E3408" w:rsidRPr="003E3408" w:rsidRDefault="003E3408" w:rsidP="003E3408">
            <w:pPr>
              <w:spacing w:after="0" w:line="240" w:lineRule="auto"/>
              <w:rPr>
                <w:rFonts w:ascii="Times New Roman" w:eastAsia="Times New Roman" w:hAnsi="Times New Roman" w:cs="Times New Roman"/>
                <w:sz w:val="24"/>
                <w:szCs w:val="24"/>
              </w:rPr>
            </w:pPr>
            <w:r w:rsidRPr="003E3408">
              <w:rPr>
                <w:rFonts w:ascii="Helvetica Neue" w:eastAsia="Times New Roman" w:hAnsi="Helvetica Neue" w:cs="Times New Roman"/>
                <w:color w:val="000000"/>
                <w:sz w:val="15"/>
                <w:szCs w:val="15"/>
              </w:rPr>
              <w:t>#5 Ranking</w:t>
            </w:r>
          </w:p>
        </w:tc>
      </w:tr>
    </w:tbl>
    <w:p w14:paraId="7D6777E2" w14:textId="77777777" w:rsidR="00EC0F4F" w:rsidRDefault="00EC0F4F" w:rsidP="00227DDD"/>
    <w:p w14:paraId="589B9F3D" w14:textId="77777777" w:rsidR="004A1DBC" w:rsidRPr="007F2255" w:rsidRDefault="004A1DBC" w:rsidP="004A1DBC">
      <w:pPr>
        <w:rPr>
          <w:sz w:val="24"/>
          <w:szCs w:val="24"/>
        </w:rPr>
      </w:pPr>
      <w:r w:rsidRPr="007F2255">
        <w:rPr>
          <w:sz w:val="24"/>
          <w:szCs w:val="24"/>
        </w:rPr>
        <w:t xml:space="preserve">The </w:t>
      </w:r>
      <w:r w:rsidRPr="007F2255">
        <w:rPr>
          <w:b/>
          <w:bCs/>
          <w:sz w:val="24"/>
          <w:szCs w:val="24"/>
        </w:rPr>
        <w:t>2019–2020 season</w:t>
      </w:r>
      <w:r w:rsidRPr="007F2255">
        <w:rPr>
          <w:sz w:val="24"/>
          <w:szCs w:val="24"/>
        </w:rPr>
        <w:t xml:space="preserve"> stands out as Hobart’s most dominant across the measured categories. That year — which culminated in an NCAA Tournament run and a Sweet 16 appearance — the team ranked </w:t>
      </w:r>
      <w:r w:rsidRPr="007F2255">
        <w:rPr>
          <w:b/>
          <w:bCs/>
          <w:sz w:val="24"/>
          <w:szCs w:val="24"/>
        </w:rPr>
        <w:t>1st in five of the nine categories</w:t>
      </w:r>
      <w:r w:rsidRPr="007F2255">
        <w:rPr>
          <w:sz w:val="24"/>
          <w:szCs w:val="24"/>
        </w:rPr>
        <w:t xml:space="preserve">, with only </w:t>
      </w:r>
      <w:r w:rsidRPr="007F2255">
        <w:rPr>
          <w:b/>
          <w:bCs/>
          <w:sz w:val="24"/>
          <w:szCs w:val="24"/>
        </w:rPr>
        <w:t>two instances of ranking 4th or lower</w:t>
      </w:r>
      <w:r w:rsidRPr="007F2255">
        <w:rPr>
          <w:sz w:val="24"/>
          <w:szCs w:val="24"/>
        </w:rPr>
        <w:t>.</w:t>
      </w:r>
    </w:p>
    <w:p w14:paraId="6538D694" w14:textId="6ABC0712" w:rsidR="004A1DBC" w:rsidRPr="007F2255" w:rsidRDefault="004A1DBC" w:rsidP="004A1DBC">
      <w:pPr>
        <w:rPr>
          <w:sz w:val="24"/>
          <w:szCs w:val="24"/>
        </w:rPr>
      </w:pPr>
      <w:r w:rsidRPr="007F2255">
        <w:rPr>
          <w:sz w:val="24"/>
          <w:szCs w:val="24"/>
        </w:rPr>
        <w:t xml:space="preserve">On the opposite end, the </w:t>
      </w:r>
      <w:r w:rsidRPr="007F2255">
        <w:rPr>
          <w:b/>
          <w:bCs/>
          <w:sz w:val="24"/>
          <w:szCs w:val="24"/>
        </w:rPr>
        <w:t>2021–2022 season</w:t>
      </w:r>
      <w:r w:rsidRPr="007F2255">
        <w:rPr>
          <w:sz w:val="24"/>
          <w:szCs w:val="24"/>
        </w:rPr>
        <w:t xml:space="preserve"> appears to be the weakest overall. That season ranked </w:t>
      </w:r>
      <w:r w:rsidRPr="007F2255">
        <w:rPr>
          <w:b/>
          <w:bCs/>
          <w:sz w:val="24"/>
          <w:szCs w:val="24"/>
        </w:rPr>
        <w:t>4th or lower in five of the nine categories</w:t>
      </w:r>
      <w:r w:rsidRPr="007F2255">
        <w:rPr>
          <w:sz w:val="24"/>
          <w:szCs w:val="24"/>
        </w:rPr>
        <w:t>, coinciding with their lowest win total of the five-year span.</w:t>
      </w:r>
    </w:p>
    <w:p w14:paraId="508CC96D" w14:textId="77777777" w:rsidR="004A1DBC" w:rsidRPr="007F2255" w:rsidRDefault="004A1DBC" w:rsidP="004A1DBC">
      <w:pPr>
        <w:rPr>
          <w:sz w:val="24"/>
          <w:szCs w:val="24"/>
        </w:rPr>
      </w:pPr>
      <w:r w:rsidRPr="007F2255">
        <w:rPr>
          <w:sz w:val="24"/>
          <w:szCs w:val="24"/>
        </w:rPr>
        <w:t xml:space="preserve">Interestingly, the </w:t>
      </w:r>
      <w:r w:rsidRPr="007F2255">
        <w:rPr>
          <w:b/>
          <w:bCs/>
          <w:sz w:val="24"/>
          <w:szCs w:val="24"/>
        </w:rPr>
        <w:t>2022–2023 team</w:t>
      </w:r>
      <w:r w:rsidRPr="007F2255">
        <w:rPr>
          <w:sz w:val="24"/>
          <w:szCs w:val="24"/>
        </w:rPr>
        <w:t xml:space="preserve">, despite finishing 17–10 (third-best record), ranked </w:t>
      </w:r>
      <w:r w:rsidRPr="007F2255">
        <w:rPr>
          <w:b/>
          <w:bCs/>
          <w:sz w:val="24"/>
          <w:szCs w:val="24"/>
        </w:rPr>
        <w:t>2nd or higher in five categories</w:t>
      </w:r>
      <w:r w:rsidRPr="007F2255">
        <w:rPr>
          <w:sz w:val="24"/>
          <w:szCs w:val="24"/>
        </w:rPr>
        <w:t xml:space="preserve">, making it the </w:t>
      </w:r>
      <w:r w:rsidRPr="007F2255">
        <w:rPr>
          <w:b/>
          <w:bCs/>
          <w:sz w:val="24"/>
          <w:szCs w:val="24"/>
        </w:rPr>
        <w:t>second-best performing season by margin</w:t>
      </w:r>
      <w:r w:rsidRPr="007F2255">
        <w:rPr>
          <w:sz w:val="24"/>
          <w:szCs w:val="24"/>
        </w:rPr>
        <w:t>.</w:t>
      </w:r>
    </w:p>
    <w:p w14:paraId="44317AEF" w14:textId="3945F732" w:rsidR="000C21A9" w:rsidRPr="007F2255" w:rsidRDefault="004A1DBC" w:rsidP="000C21A9">
      <w:pPr>
        <w:rPr>
          <w:sz w:val="24"/>
          <w:szCs w:val="24"/>
        </w:rPr>
      </w:pPr>
      <w:r w:rsidRPr="007F2255">
        <w:rPr>
          <w:sz w:val="24"/>
          <w:szCs w:val="24"/>
        </w:rPr>
        <w:t xml:space="preserve">Perhaps most surprising is the </w:t>
      </w:r>
      <w:r w:rsidRPr="007F2255">
        <w:rPr>
          <w:b/>
          <w:bCs/>
          <w:sz w:val="24"/>
          <w:szCs w:val="24"/>
        </w:rPr>
        <w:t>2023–2024 team</w:t>
      </w:r>
      <w:r w:rsidRPr="007F2255">
        <w:rPr>
          <w:sz w:val="24"/>
          <w:szCs w:val="24"/>
        </w:rPr>
        <w:t xml:space="preserve">, which qualified for the NCAA Tournament but </w:t>
      </w:r>
      <w:r w:rsidRPr="007F2255">
        <w:rPr>
          <w:b/>
          <w:bCs/>
          <w:sz w:val="24"/>
          <w:szCs w:val="24"/>
        </w:rPr>
        <w:t>ranked 4th or worse in five of the nine categories</w:t>
      </w:r>
      <w:r w:rsidRPr="007F2255">
        <w:rPr>
          <w:sz w:val="24"/>
          <w:szCs w:val="24"/>
        </w:rPr>
        <w:t xml:space="preserve">. While they did finish 1st in one category and 2nd in two others, their overall statistical margins were among the weakest. This highlights how a team can still achieve postseason success even without excelling across key margin-based metrics — a reminder that </w:t>
      </w:r>
      <w:r w:rsidRPr="007F2255">
        <w:rPr>
          <w:b/>
          <w:bCs/>
          <w:sz w:val="24"/>
          <w:szCs w:val="24"/>
        </w:rPr>
        <w:t>not all success is fully captured by the numbers</w:t>
      </w:r>
      <w:r w:rsidRPr="007F2255">
        <w:rPr>
          <w:sz w:val="24"/>
          <w:szCs w:val="24"/>
        </w:rPr>
        <w:t>.</w:t>
      </w:r>
    </w:p>
    <w:p w14:paraId="1748B688" w14:textId="2B2C4CCF" w:rsidR="00F73B52" w:rsidRPr="000C21A9" w:rsidRDefault="00F73B52" w:rsidP="000C21A9">
      <w:pPr>
        <w:pStyle w:val="Heading1"/>
        <w:rPr>
          <w:color w:val="4C1078"/>
        </w:rPr>
      </w:pPr>
      <w:r>
        <w:rPr>
          <w:color w:val="4C1078"/>
        </w:rPr>
        <w:lastRenderedPageBreak/>
        <w:t>Conclusion</w:t>
      </w:r>
    </w:p>
    <w:p w14:paraId="29F22E42" w14:textId="77777777" w:rsidR="000C21A9" w:rsidRPr="007F2255" w:rsidRDefault="000C21A9" w:rsidP="000C21A9">
      <w:pPr>
        <w:rPr>
          <w:sz w:val="24"/>
          <w:szCs w:val="24"/>
        </w:rPr>
      </w:pPr>
      <w:r w:rsidRPr="007F2255">
        <w:rPr>
          <w:sz w:val="24"/>
          <w:szCs w:val="24"/>
        </w:rPr>
        <w:t>Over the course of five seasons, Hobart Basketball has developed a clear statistical identity rooted in physicality, rebounding, and interior dominance. The data reveals that Hobart consistently outperformed opponents in areas that reflect toughness and effort — particularly in second-chance points, total rebounding margin, and points in the paint. These advantages speak to the program’s ability to control possessions and impose their style of play over time.</w:t>
      </w:r>
    </w:p>
    <w:p w14:paraId="4AE554F2" w14:textId="77777777" w:rsidR="000C21A9" w:rsidRPr="007F2255" w:rsidRDefault="000C21A9" w:rsidP="000C21A9">
      <w:pPr>
        <w:rPr>
          <w:sz w:val="24"/>
          <w:szCs w:val="24"/>
        </w:rPr>
      </w:pPr>
      <w:r w:rsidRPr="007F2255">
        <w:rPr>
          <w:sz w:val="24"/>
          <w:szCs w:val="24"/>
        </w:rPr>
        <w:t xml:space="preserve">At the same time, the analysis exposes key areas for growth. Defensive disruption metrics — such as steals, blocks, and turnovers forced — consistently </w:t>
      </w:r>
      <w:proofErr w:type="gramStart"/>
      <w:r w:rsidRPr="007F2255">
        <w:rPr>
          <w:sz w:val="24"/>
          <w:szCs w:val="24"/>
        </w:rPr>
        <w:t>lag behind</w:t>
      </w:r>
      <w:proofErr w:type="gramEnd"/>
      <w:r w:rsidRPr="007F2255">
        <w:rPr>
          <w:sz w:val="24"/>
          <w:szCs w:val="24"/>
        </w:rPr>
        <w:t xml:space="preserve"> opponent averages. Addressing these gaps could elevate Hobart’s ability to generate momentum-changing plays and improve overall defensive efficiency.</w:t>
      </w:r>
    </w:p>
    <w:p w14:paraId="5AF89FE1" w14:textId="77777777" w:rsidR="000C21A9" w:rsidRPr="007F2255" w:rsidRDefault="000C21A9" w:rsidP="000C21A9">
      <w:pPr>
        <w:rPr>
          <w:sz w:val="24"/>
          <w:szCs w:val="24"/>
        </w:rPr>
      </w:pPr>
      <w:r w:rsidRPr="007F2255">
        <w:rPr>
          <w:sz w:val="24"/>
          <w:szCs w:val="24"/>
        </w:rPr>
        <w:t xml:space="preserve">Most notably, this report emphasizes how statistical success often mirrors postseason achievement. The 2019–2020 and 2023–2024 teams — both of which earned NCAA Tournament bids — ranked at or near the top in multiple margin-based categories. However, the 2023–2024 team’s success also serves as a reminder that </w:t>
      </w:r>
      <w:r w:rsidRPr="007F2255">
        <w:rPr>
          <w:b/>
          <w:bCs/>
          <w:sz w:val="24"/>
          <w:szCs w:val="24"/>
        </w:rPr>
        <w:t>intangibles, situational execution, and team chemistry</w:t>
      </w:r>
      <w:r w:rsidRPr="007F2255">
        <w:rPr>
          <w:sz w:val="24"/>
          <w:szCs w:val="24"/>
        </w:rPr>
        <w:t xml:space="preserve"> can override deficiencies in raw stats.</w:t>
      </w:r>
    </w:p>
    <w:p w14:paraId="0F1A5E06" w14:textId="77777777" w:rsidR="000C21A9" w:rsidRPr="007F2255" w:rsidRDefault="000C21A9" w:rsidP="000C21A9">
      <w:pPr>
        <w:rPr>
          <w:sz w:val="24"/>
          <w:szCs w:val="24"/>
        </w:rPr>
      </w:pPr>
      <w:r w:rsidRPr="007F2255">
        <w:rPr>
          <w:sz w:val="24"/>
          <w:szCs w:val="24"/>
        </w:rPr>
        <w:t xml:space="preserve">Ultimately, this five-year snapshot offers coaches, players, and analysts a foundation for reflection and refinement. As Hobart continues to evolve, the ability to blend </w:t>
      </w:r>
      <w:r w:rsidRPr="007F2255">
        <w:rPr>
          <w:b/>
          <w:bCs/>
          <w:sz w:val="24"/>
          <w:szCs w:val="24"/>
        </w:rPr>
        <w:t>data-driven insights with strategic adaptability</w:t>
      </w:r>
      <w:r w:rsidRPr="007F2255">
        <w:rPr>
          <w:sz w:val="24"/>
          <w:szCs w:val="24"/>
        </w:rPr>
        <w:t xml:space="preserve"> will be critical to future success on the court.</w:t>
      </w:r>
    </w:p>
    <w:p w14:paraId="445A0993" w14:textId="77777777" w:rsidR="000C21A9" w:rsidRDefault="000C21A9" w:rsidP="004A1DBC"/>
    <w:sectPr w:rsidR="000C21A9" w:rsidSect="006A4870">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8CC79" w14:textId="77777777" w:rsidR="00926C5C" w:rsidRDefault="00926C5C" w:rsidP="00405F21">
      <w:pPr>
        <w:spacing w:after="0" w:line="240" w:lineRule="auto"/>
      </w:pPr>
      <w:r>
        <w:separator/>
      </w:r>
    </w:p>
  </w:endnote>
  <w:endnote w:type="continuationSeparator" w:id="0">
    <w:p w14:paraId="43F4CB41" w14:textId="77777777" w:rsidR="00926C5C" w:rsidRDefault="00926C5C" w:rsidP="0040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E840A" w14:textId="0E69C1EA" w:rsidR="00405F21" w:rsidRDefault="00405F21" w:rsidP="00405F21">
    <w:pPr>
      <w:pStyle w:val="Footer"/>
    </w:pPr>
    <w:r>
      <w:rPr>
        <w:noProof/>
      </w:rPr>
      <w:drawing>
        <wp:anchor distT="0" distB="0" distL="114300" distR="114300" simplePos="0" relativeHeight="251658240" behindDoc="0" locked="0" layoutInCell="1" allowOverlap="1" wp14:anchorId="0A40DA25" wp14:editId="45D39C92">
          <wp:simplePos x="0" y="0"/>
          <wp:positionH relativeFrom="column">
            <wp:posOffset>-842645</wp:posOffset>
          </wp:positionH>
          <wp:positionV relativeFrom="paragraph">
            <wp:posOffset>-113983</wp:posOffset>
          </wp:positionV>
          <wp:extent cx="485775" cy="485775"/>
          <wp:effectExtent l="0" t="0" r="0" b="0"/>
          <wp:wrapNone/>
          <wp:docPr id="684845649" name="Picture 1" descr="A purple and orang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49490" name="Picture 1" descr="A purple and orange logo&#10;&#10;AI-generated content may be incorrect."/>
                  <pic:cNvPicPr/>
                </pic:nvPicPr>
                <pic:blipFill>
                  <a:blip r:embed="rId1"/>
                  <a:stretch>
                    <a:fillRect/>
                  </a:stretch>
                </pic:blipFill>
                <pic:spPr>
                  <a:xfrm>
                    <a:off x="0" y="0"/>
                    <a:ext cx="485775" cy="4857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5C54B" w14:textId="77777777" w:rsidR="00926C5C" w:rsidRDefault="00926C5C" w:rsidP="00405F21">
      <w:pPr>
        <w:spacing w:after="0" w:line="240" w:lineRule="auto"/>
      </w:pPr>
      <w:r>
        <w:separator/>
      </w:r>
    </w:p>
  </w:footnote>
  <w:footnote w:type="continuationSeparator" w:id="0">
    <w:p w14:paraId="72C241B5" w14:textId="77777777" w:rsidR="00926C5C" w:rsidRDefault="00926C5C" w:rsidP="00405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919279">
    <w:abstractNumId w:val="8"/>
  </w:num>
  <w:num w:numId="2" w16cid:durableId="1997954347">
    <w:abstractNumId w:val="6"/>
  </w:num>
  <w:num w:numId="3" w16cid:durableId="1949501847">
    <w:abstractNumId w:val="5"/>
  </w:num>
  <w:num w:numId="4" w16cid:durableId="176117124">
    <w:abstractNumId w:val="4"/>
  </w:num>
  <w:num w:numId="5" w16cid:durableId="703290431">
    <w:abstractNumId w:val="7"/>
  </w:num>
  <w:num w:numId="6" w16cid:durableId="1926960519">
    <w:abstractNumId w:val="3"/>
  </w:num>
  <w:num w:numId="7" w16cid:durableId="1728720629">
    <w:abstractNumId w:val="2"/>
  </w:num>
  <w:num w:numId="8" w16cid:durableId="487408558">
    <w:abstractNumId w:val="1"/>
  </w:num>
  <w:num w:numId="9" w16cid:durableId="828404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53C1"/>
    <w:rsid w:val="00030AC7"/>
    <w:rsid w:val="00034616"/>
    <w:rsid w:val="0006063C"/>
    <w:rsid w:val="00061C43"/>
    <w:rsid w:val="00083D7C"/>
    <w:rsid w:val="000C0EB3"/>
    <w:rsid w:val="000C21A9"/>
    <w:rsid w:val="000C61CA"/>
    <w:rsid w:val="000D119B"/>
    <w:rsid w:val="0015074B"/>
    <w:rsid w:val="00172ED7"/>
    <w:rsid w:val="001B4E89"/>
    <w:rsid w:val="001B4EF5"/>
    <w:rsid w:val="001B59EA"/>
    <w:rsid w:val="001D5801"/>
    <w:rsid w:val="001F19C7"/>
    <w:rsid w:val="00227DDD"/>
    <w:rsid w:val="0029639D"/>
    <w:rsid w:val="002979D2"/>
    <w:rsid w:val="00303BB0"/>
    <w:rsid w:val="00304458"/>
    <w:rsid w:val="00326F90"/>
    <w:rsid w:val="0034202F"/>
    <w:rsid w:val="00362AED"/>
    <w:rsid w:val="00383B69"/>
    <w:rsid w:val="003849FC"/>
    <w:rsid w:val="0039690B"/>
    <w:rsid w:val="003E125B"/>
    <w:rsid w:val="003E3408"/>
    <w:rsid w:val="003E735A"/>
    <w:rsid w:val="00405F21"/>
    <w:rsid w:val="004A1DBC"/>
    <w:rsid w:val="004E16BF"/>
    <w:rsid w:val="0051456C"/>
    <w:rsid w:val="00515CEA"/>
    <w:rsid w:val="00552BBF"/>
    <w:rsid w:val="005D7874"/>
    <w:rsid w:val="00601749"/>
    <w:rsid w:val="00685C1A"/>
    <w:rsid w:val="006A278A"/>
    <w:rsid w:val="006A4870"/>
    <w:rsid w:val="006D2CC4"/>
    <w:rsid w:val="00795F37"/>
    <w:rsid w:val="00797658"/>
    <w:rsid w:val="007D1336"/>
    <w:rsid w:val="007D25E8"/>
    <w:rsid w:val="007F2255"/>
    <w:rsid w:val="008C4266"/>
    <w:rsid w:val="0091494C"/>
    <w:rsid w:val="00926C5C"/>
    <w:rsid w:val="00944507"/>
    <w:rsid w:val="009B2B53"/>
    <w:rsid w:val="009E5C06"/>
    <w:rsid w:val="00A208BB"/>
    <w:rsid w:val="00A37FAE"/>
    <w:rsid w:val="00A42207"/>
    <w:rsid w:val="00A45215"/>
    <w:rsid w:val="00A45E8E"/>
    <w:rsid w:val="00AA1D8D"/>
    <w:rsid w:val="00AD1D31"/>
    <w:rsid w:val="00AE5543"/>
    <w:rsid w:val="00B1119C"/>
    <w:rsid w:val="00B44E93"/>
    <w:rsid w:val="00B47730"/>
    <w:rsid w:val="00B67906"/>
    <w:rsid w:val="00BA5A88"/>
    <w:rsid w:val="00C20363"/>
    <w:rsid w:val="00C24574"/>
    <w:rsid w:val="00CB0664"/>
    <w:rsid w:val="00D048CC"/>
    <w:rsid w:val="00D36310"/>
    <w:rsid w:val="00D37861"/>
    <w:rsid w:val="00DB0D28"/>
    <w:rsid w:val="00DC5170"/>
    <w:rsid w:val="00E351CA"/>
    <w:rsid w:val="00E67365"/>
    <w:rsid w:val="00EA0DFB"/>
    <w:rsid w:val="00EC0F4F"/>
    <w:rsid w:val="00F16C2E"/>
    <w:rsid w:val="00F73B52"/>
    <w:rsid w:val="00F77EDD"/>
    <w:rsid w:val="00F77F71"/>
    <w:rsid w:val="00F84435"/>
    <w:rsid w:val="00FC2BB5"/>
    <w:rsid w:val="00FC693F"/>
    <w:rsid w:val="00FD1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BAA61B"/>
  <w14:defaultImageDpi w14:val="300"/>
  <w15:docId w15:val="{8D0EE716-F6BF-4848-A9C1-7EC84E75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A48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9389">
      <w:bodyDiv w:val="1"/>
      <w:marLeft w:val="0"/>
      <w:marRight w:val="0"/>
      <w:marTop w:val="0"/>
      <w:marBottom w:val="0"/>
      <w:divBdr>
        <w:top w:val="none" w:sz="0" w:space="0" w:color="auto"/>
        <w:left w:val="none" w:sz="0" w:space="0" w:color="auto"/>
        <w:bottom w:val="none" w:sz="0" w:space="0" w:color="auto"/>
        <w:right w:val="none" w:sz="0" w:space="0" w:color="auto"/>
      </w:divBdr>
    </w:div>
    <w:div w:id="46537732">
      <w:bodyDiv w:val="1"/>
      <w:marLeft w:val="0"/>
      <w:marRight w:val="0"/>
      <w:marTop w:val="0"/>
      <w:marBottom w:val="0"/>
      <w:divBdr>
        <w:top w:val="none" w:sz="0" w:space="0" w:color="auto"/>
        <w:left w:val="none" w:sz="0" w:space="0" w:color="auto"/>
        <w:bottom w:val="none" w:sz="0" w:space="0" w:color="auto"/>
        <w:right w:val="none" w:sz="0" w:space="0" w:color="auto"/>
      </w:divBdr>
    </w:div>
    <w:div w:id="149294540">
      <w:bodyDiv w:val="1"/>
      <w:marLeft w:val="0"/>
      <w:marRight w:val="0"/>
      <w:marTop w:val="0"/>
      <w:marBottom w:val="0"/>
      <w:divBdr>
        <w:top w:val="none" w:sz="0" w:space="0" w:color="auto"/>
        <w:left w:val="none" w:sz="0" w:space="0" w:color="auto"/>
        <w:bottom w:val="none" w:sz="0" w:space="0" w:color="auto"/>
        <w:right w:val="none" w:sz="0" w:space="0" w:color="auto"/>
      </w:divBdr>
    </w:div>
    <w:div w:id="218245321">
      <w:bodyDiv w:val="1"/>
      <w:marLeft w:val="0"/>
      <w:marRight w:val="0"/>
      <w:marTop w:val="0"/>
      <w:marBottom w:val="0"/>
      <w:divBdr>
        <w:top w:val="none" w:sz="0" w:space="0" w:color="auto"/>
        <w:left w:val="none" w:sz="0" w:space="0" w:color="auto"/>
        <w:bottom w:val="none" w:sz="0" w:space="0" w:color="auto"/>
        <w:right w:val="none" w:sz="0" w:space="0" w:color="auto"/>
      </w:divBdr>
    </w:div>
    <w:div w:id="286282762">
      <w:bodyDiv w:val="1"/>
      <w:marLeft w:val="0"/>
      <w:marRight w:val="0"/>
      <w:marTop w:val="0"/>
      <w:marBottom w:val="0"/>
      <w:divBdr>
        <w:top w:val="none" w:sz="0" w:space="0" w:color="auto"/>
        <w:left w:val="none" w:sz="0" w:space="0" w:color="auto"/>
        <w:bottom w:val="none" w:sz="0" w:space="0" w:color="auto"/>
        <w:right w:val="none" w:sz="0" w:space="0" w:color="auto"/>
      </w:divBdr>
    </w:div>
    <w:div w:id="364256734">
      <w:bodyDiv w:val="1"/>
      <w:marLeft w:val="0"/>
      <w:marRight w:val="0"/>
      <w:marTop w:val="0"/>
      <w:marBottom w:val="0"/>
      <w:divBdr>
        <w:top w:val="none" w:sz="0" w:space="0" w:color="auto"/>
        <w:left w:val="none" w:sz="0" w:space="0" w:color="auto"/>
        <w:bottom w:val="none" w:sz="0" w:space="0" w:color="auto"/>
        <w:right w:val="none" w:sz="0" w:space="0" w:color="auto"/>
      </w:divBdr>
    </w:div>
    <w:div w:id="395402498">
      <w:bodyDiv w:val="1"/>
      <w:marLeft w:val="0"/>
      <w:marRight w:val="0"/>
      <w:marTop w:val="0"/>
      <w:marBottom w:val="0"/>
      <w:divBdr>
        <w:top w:val="none" w:sz="0" w:space="0" w:color="auto"/>
        <w:left w:val="none" w:sz="0" w:space="0" w:color="auto"/>
        <w:bottom w:val="none" w:sz="0" w:space="0" w:color="auto"/>
        <w:right w:val="none" w:sz="0" w:space="0" w:color="auto"/>
      </w:divBdr>
    </w:div>
    <w:div w:id="417286477">
      <w:bodyDiv w:val="1"/>
      <w:marLeft w:val="0"/>
      <w:marRight w:val="0"/>
      <w:marTop w:val="0"/>
      <w:marBottom w:val="0"/>
      <w:divBdr>
        <w:top w:val="none" w:sz="0" w:space="0" w:color="auto"/>
        <w:left w:val="none" w:sz="0" w:space="0" w:color="auto"/>
        <w:bottom w:val="none" w:sz="0" w:space="0" w:color="auto"/>
        <w:right w:val="none" w:sz="0" w:space="0" w:color="auto"/>
      </w:divBdr>
    </w:div>
    <w:div w:id="469711779">
      <w:bodyDiv w:val="1"/>
      <w:marLeft w:val="0"/>
      <w:marRight w:val="0"/>
      <w:marTop w:val="0"/>
      <w:marBottom w:val="0"/>
      <w:divBdr>
        <w:top w:val="none" w:sz="0" w:space="0" w:color="auto"/>
        <w:left w:val="none" w:sz="0" w:space="0" w:color="auto"/>
        <w:bottom w:val="none" w:sz="0" w:space="0" w:color="auto"/>
        <w:right w:val="none" w:sz="0" w:space="0" w:color="auto"/>
      </w:divBdr>
    </w:div>
    <w:div w:id="532615854">
      <w:bodyDiv w:val="1"/>
      <w:marLeft w:val="0"/>
      <w:marRight w:val="0"/>
      <w:marTop w:val="0"/>
      <w:marBottom w:val="0"/>
      <w:divBdr>
        <w:top w:val="none" w:sz="0" w:space="0" w:color="auto"/>
        <w:left w:val="none" w:sz="0" w:space="0" w:color="auto"/>
        <w:bottom w:val="none" w:sz="0" w:space="0" w:color="auto"/>
        <w:right w:val="none" w:sz="0" w:space="0" w:color="auto"/>
      </w:divBdr>
    </w:div>
    <w:div w:id="578296847">
      <w:bodyDiv w:val="1"/>
      <w:marLeft w:val="0"/>
      <w:marRight w:val="0"/>
      <w:marTop w:val="0"/>
      <w:marBottom w:val="0"/>
      <w:divBdr>
        <w:top w:val="none" w:sz="0" w:space="0" w:color="auto"/>
        <w:left w:val="none" w:sz="0" w:space="0" w:color="auto"/>
        <w:bottom w:val="none" w:sz="0" w:space="0" w:color="auto"/>
        <w:right w:val="none" w:sz="0" w:space="0" w:color="auto"/>
      </w:divBdr>
    </w:div>
    <w:div w:id="662857266">
      <w:bodyDiv w:val="1"/>
      <w:marLeft w:val="0"/>
      <w:marRight w:val="0"/>
      <w:marTop w:val="0"/>
      <w:marBottom w:val="0"/>
      <w:divBdr>
        <w:top w:val="none" w:sz="0" w:space="0" w:color="auto"/>
        <w:left w:val="none" w:sz="0" w:space="0" w:color="auto"/>
        <w:bottom w:val="none" w:sz="0" w:space="0" w:color="auto"/>
        <w:right w:val="none" w:sz="0" w:space="0" w:color="auto"/>
      </w:divBdr>
    </w:div>
    <w:div w:id="690641089">
      <w:bodyDiv w:val="1"/>
      <w:marLeft w:val="0"/>
      <w:marRight w:val="0"/>
      <w:marTop w:val="0"/>
      <w:marBottom w:val="0"/>
      <w:divBdr>
        <w:top w:val="none" w:sz="0" w:space="0" w:color="auto"/>
        <w:left w:val="none" w:sz="0" w:space="0" w:color="auto"/>
        <w:bottom w:val="none" w:sz="0" w:space="0" w:color="auto"/>
        <w:right w:val="none" w:sz="0" w:space="0" w:color="auto"/>
      </w:divBdr>
    </w:div>
    <w:div w:id="803350418">
      <w:bodyDiv w:val="1"/>
      <w:marLeft w:val="0"/>
      <w:marRight w:val="0"/>
      <w:marTop w:val="0"/>
      <w:marBottom w:val="0"/>
      <w:divBdr>
        <w:top w:val="none" w:sz="0" w:space="0" w:color="auto"/>
        <w:left w:val="none" w:sz="0" w:space="0" w:color="auto"/>
        <w:bottom w:val="none" w:sz="0" w:space="0" w:color="auto"/>
        <w:right w:val="none" w:sz="0" w:space="0" w:color="auto"/>
      </w:divBdr>
    </w:div>
    <w:div w:id="822309799">
      <w:bodyDiv w:val="1"/>
      <w:marLeft w:val="0"/>
      <w:marRight w:val="0"/>
      <w:marTop w:val="0"/>
      <w:marBottom w:val="0"/>
      <w:divBdr>
        <w:top w:val="none" w:sz="0" w:space="0" w:color="auto"/>
        <w:left w:val="none" w:sz="0" w:space="0" w:color="auto"/>
        <w:bottom w:val="none" w:sz="0" w:space="0" w:color="auto"/>
        <w:right w:val="none" w:sz="0" w:space="0" w:color="auto"/>
      </w:divBdr>
    </w:div>
    <w:div w:id="850027889">
      <w:bodyDiv w:val="1"/>
      <w:marLeft w:val="0"/>
      <w:marRight w:val="0"/>
      <w:marTop w:val="0"/>
      <w:marBottom w:val="0"/>
      <w:divBdr>
        <w:top w:val="none" w:sz="0" w:space="0" w:color="auto"/>
        <w:left w:val="none" w:sz="0" w:space="0" w:color="auto"/>
        <w:bottom w:val="none" w:sz="0" w:space="0" w:color="auto"/>
        <w:right w:val="none" w:sz="0" w:space="0" w:color="auto"/>
      </w:divBdr>
    </w:div>
    <w:div w:id="889809190">
      <w:bodyDiv w:val="1"/>
      <w:marLeft w:val="0"/>
      <w:marRight w:val="0"/>
      <w:marTop w:val="0"/>
      <w:marBottom w:val="0"/>
      <w:divBdr>
        <w:top w:val="none" w:sz="0" w:space="0" w:color="auto"/>
        <w:left w:val="none" w:sz="0" w:space="0" w:color="auto"/>
        <w:bottom w:val="none" w:sz="0" w:space="0" w:color="auto"/>
        <w:right w:val="none" w:sz="0" w:space="0" w:color="auto"/>
      </w:divBdr>
    </w:div>
    <w:div w:id="1008294914">
      <w:bodyDiv w:val="1"/>
      <w:marLeft w:val="0"/>
      <w:marRight w:val="0"/>
      <w:marTop w:val="0"/>
      <w:marBottom w:val="0"/>
      <w:divBdr>
        <w:top w:val="none" w:sz="0" w:space="0" w:color="auto"/>
        <w:left w:val="none" w:sz="0" w:space="0" w:color="auto"/>
        <w:bottom w:val="none" w:sz="0" w:space="0" w:color="auto"/>
        <w:right w:val="none" w:sz="0" w:space="0" w:color="auto"/>
      </w:divBdr>
    </w:div>
    <w:div w:id="1052195575">
      <w:bodyDiv w:val="1"/>
      <w:marLeft w:val="0"/>
      <w:marRight w:val="0"/>
      <w:marTop w:val="0"/>
      <w:marBottom w:val="0"/>
      <w:divBdr>
        <w:top w:val="none" w:sz="0" w:space="0" w:color="auto"/>
        <w:left w:val="none" w:sz="0" w:space="0" w:color="auto"/>
        <w:bottom w:val="none" w:sz="0" w:space="0" w:color="auto"/>
        <w:right w:val="none" w:sz="0" w:space="0" w:color="auto"/>
      </w:divBdr>
    </w:div>
    <w:div w:id="1240628916">
      <w:bodyDiv w:val="1"/>
      <w:marLeft w:val="0"/>
      <w:marRight w:val="0"/>
      <w:marTop w:val="0"/>
      <w:marBottom w:val="0"/>
      <w:divBdr>
        <w:top w:val="none" w:sz="0" w:space="0" w:color="auto"/>
        <w:left w:val="none" w:sz="0" w:space="0" w:color="auto"/>
        <w:bottom w:val="none" w:sz="0" w:space="0" w:color="auto"/>
        <w:right w:val="none" w:sz="0" w:space="0" w:color="auto"/>
      </w:divBdr>
    </w:div>
    <w:div w:id="1253588269">
      <w:bodyDiv w:val="1"/>
      <w:marLeft w:val="0"/>
      <w:marRight w:val="0"/>
      <w:marTop w:val="0"/>
      <w:marBottom w:val="0"/>
      <w:divBdr>
        <w:top w:val="none" w:sz="0" w:space="0" w:color="auto"/>
        <w:left w:val="none" w:sz="0" w:space="0" w:color="auto"/>
        <w:bottom w:val="none" w:sz="0" w:space="0" w:color="auto"/>
        <w:right w:val="none" w:sz="0" w:space="0" w:color="auto"/>
      </w:divBdr>
    </w:div>
    <w:div w:id="1296137770">
      <w:bodyDiv w:val="1"/>
      <w:marLeft w:val="0"/>
      <w:marRight w:val="0"/>
      <w:marTop w:val="0"/>
      <w:marBottom w:val="0"/>
      <w:divBdr>
        <w:top w:val="none" w:sz="0" w:space="0" w:color="auto"/>
        <w:left w:val="none" w:sz="0" w:space="0" w:color="auto"/>
        <w:bottom w:val="none" w:sz="0" w:space="0" w:color="auto"/>
        <w:right w:val="none" w:sz="0" w:space="0" w:color="auto"/>
      </w:divBdr>
    </w:div>
    <w:div w:id="1302927327">
      <w:bodyDiv w:val="1"/>
      <w:marLeft w:val="0"/>
      <w:marRight w:val="0"/>
      <w:marTop w:val="0"/>
      <w:marBottom w:val="0"/>
      <w:divBdr>
        <w:top w:val="none" w:sz="0" w:space="0" w:color="auto"/>
        <w:left w:val="none" w:sz="0" w:space="0" w:color="auto"/>
        <w:bottom w:val="none" w:sz="0" w:space="0" w:color="auto"/>
        <w:right w:val="none" w:sz="0" w:space="0" w:color="auto"/>
      </w:divBdr>
    </w:div>
    <w:div w:id="1669598865">
      <w:bodyDiv w:val="1"/>
      <w:marLeft w:val="0"/>
      <w:marRight w:val="0"/>
      <w:marTop w:val="0"/>
      <w:marBottom w:val="0"/>
      <w:divBdr>
        <w:top w:val="none" w:sz="0" w:space="0" w:color="auto"/>
        <w:left w:val="none" w:sz="0" w:space="0" w:color="auto"/>
        <w:bottom w:val="none" w:sz="0" w:space="0" w:color="auto"/>
        <w:right w:val="none" w:sz="0" w:space="0" w:color="auto"/>
      </w:divBdr>
    </w:div>
    <w:div w:id="1714770104">
      <w:bodyDiv w:val="1"/>
      <w:marLeft w:val="0"/>
      <w:marRight w:val="0"/>
      <w:marTop w:val="0"/>
      <w:marBottom w:val="0"/>
      <w:divBdr>
        <w:top w:val="none" w:sz="0" w:space="0" w:color="auto"/>
        <w:left w:val="none" w:sz="0" w:space="0" w:color="auto"/>
        <w:bottom w:val="none" w:sz="0" w:space="0" w:color="auto"/>
        <w:right w:val="none" w:sz="0" w:space="0" w:color="auto"/>
      </w:divBdr>
    </w:div>
    <w:div w:id="1764181260">
      <w:bodyDiv w:val="1"/>
      <w:marLeft w:val="0"/>
      <w:marRight w:val="0"/>
      <w:marTop w:val="0"/>
      <w:marBottom w:val="0"/>
      <w:divBdr>
        <w:top w:val="none" w:sz="0" w:space="0" w:color="auto"/>
        <w:left w:val="none" w:sz="0" w:space="0" w:color="auto"/>
        <w:bottom w:val="none" w:sz="0" w:space="0" w:color="auto"/>
        <w:right w:val="none" w:sz="0" w:space="0" w:color="auto"/>
      </w:divBdr>
    </w:div>
    <w:div w:id="1777864867">
      <w:bodyDiv w:val="1"/>
      <w:marLeft w:val="0"/>
      <w:marRight w:val="0"/>
      <w:marTop w:val="0"/>
      <w:marBottom w:val="0"/>
      <w:divBdr>
        <w:top w:val="none" w:sz="0" w:space="0" w:color="auto"/>
        <w:left w:val="none" w:sz="0" w:space="0" w:color="auto"/>
        <w:bottom w:val="none" w:sz="0" w:space="0" w:color="auto"/>
        <w:right w:val="none" w:sz="0" w:space="0" w:color="auto"/>
      </w:divBdr>
    </w:div>
    <w:div w:id="1973486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Charles Bertram Garrett IV</cp:lastModifiedBy>
  <cp:revision>13</cp:revision>
  <cp:lastPrinted>2025-04-16T00:36:00Z</cp:lastPrinted>
  <dcterms:created xsi:type="dcterms:W3CDTF">2025-04-16T00:36:00Z</dcterms:created>
  <dcterms:modified xsi:type="dcterms:W3CDTF">2025-04-17T14:06:00Z</dcterms:modified>
  <cp:category/>
</cp:coreProperties>
</file>