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42A" w:rsidRPr="006F442A" w:rsidRDefault="006F442A" w:rsidP="006F442A">
      <w:pPr>
        <w:jc w:val="center"/>
        <w:rPr>
          <w:rFonts w:eastAsia="Times New Roman" w:cs="Calibri"/>
          <w:b/>
          <w:i/>
          <w:color w:val="000000"/>
          <w:sz w:val="32"/>
          <w:szCs w:val="32"/>
        </w:rPr>
      </w:pPr>
      <w:r w:rsidRPr="006F442A">
        <w:rPr>
          <w:rFonts w:eastAsia="Times New Roman" w:cs="Calibri"/>
          <w:b/>
          <w:color w:val="000000"/>
          <w:sz w:val="32"/>
          <w:szCs w:val="32"/>
        </w:rPr>
        <w:t>Average Bank Lending Rate</w:t>
      </w:r>
    </w:p>
    <w:p w:rsidR="006F442A" w:rsidRPr="006F442A" w:rsidRDefault="006F442A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Scope and Classification</w:t>
      </w:r>
    </w:p>
    <w:p w:rsidR="00730B23" w:rsidRDefault="006F442A">
      <w:p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Average bank lending rate comes in tenors of short-, medium-, and l</w:t>
      </w:r>
      <w:r w:rsidRPr="004C4478">
        <w:rPr>
          <w:rFonts w:eastAsia="Times New Roman" w:cs="Calibri"/>
          <w:color w:val="000000"/>
        </w:rPr>
        <w:t>on</w:t>
      </w:r>
      <w:r>
        <w:rPr>
          <w:rFonts w:eastAsia="Times New Roman" w:cs="Calibri"/>
          <w:color w:val="000000"/>
        </w:rPr>
        <w:t>g-t</w:t>
      </w:r>
      <w:r w:rsidRPr="004C4478">
        <w:rPr>
          <w:rFonts w:eastAsia="Times New Roman" w:cs="Calibri"/>
          <w:color w:val="000000"/>
        </w:rPr>
        <w:t>erm</w:t>
      </w:r>
      <w:r>
        <w:rPr>
          <w:rFonts w:eastAsia="Times New Roman" w:cs="Calibri"/>
          <w:color w:val="000000"/>
        </w:rPr>
        <w:t xml:space="preserve"> as well as all maturities and are obtained from local banks, subsidiaries of foreign banks and foreign banks.</w:t>
      </w:r>
    </w:p>
    <w:p w:rsidR="006F442A" w:rsidRDefault="006F442A">
      <w:pPr>
        <w:rPr>
          <w:rFonts w:eastAsia="Times New Roman" w:cs="Calibri"/>
          <w:color w:val="000000"/>
        </w:rPr>
      </w:pPr>
    </w:p>
    <w:p w:rsidR="006F442A" w:rsidRPr="006F442A" w:rsidRDefault="006F442A">
      <w:pPr>
        <w:rPr>
          <w:rFonts w:eastAsia="Times New Roman" w:cs="Calibri"/>
          <w:i/>
          <w:color w:val="000000"/>
        </w:rPr>
      </w:pPr>
      <w:r>
        <w:rPr>
          <w:rFonts w:eastAsia="Times New Roman" w:cs="Calibri"/>
          <w:i/>
          <w:color w:val="000000"/>
        </w:rPr>
        <w:t>Sources of Data and Methodology</w:t>
      </w:r>
    </w:p>
    <w:p w:rsidR="006F442A" w:rsidRDefault="006F442A">
      <w:proofErr w:type="gramStart"/>
      <w:r w:rsidRPr="00F371DD">
        <w:t>Based on monthly submissions by local banks, subsidiaries of foreign banks and foreign banks of interest income, average outstanding loans and discounts a</w:t>
      </w:r>
      <w:bookmarkStart w:id="0" w:name="_GoBack"/>
      <w:bookmarkEnd w:id="0"/>
      <w:r w:rsidRPr="00F371DD">
        <w:t xml:space="preserve">nd </w:t>
      </w:r>
      <w:r>
        <w:t>weighted average interest rate (</w:t>
      </w:r>
      <w:r w:rsidRPr="00F371DD">
        <w:t>WAIR</w:t>
      </w:r>
      <w:r>
        <w:t>)</w:t>
      </w:r>
      <w:r w:rsidRPr="00F371DD">
        <w:t>.</w:t>
      </w:r>
      <w:proofErr w:type="gramEnd"/>
      <w:r>
        <w:t xml:space="preserve"> </w:t>
      </w:r>
      <w:r w:rsidRPr="00F371DD">
        <w:t>Computed as the annual percentage equivalent of banks’ actual monthly interest income on their peso-denominated loans to the total outstanding levels of their peso-denominated loans, bills discounted, mortgage contract receivables and restructured loans.</w:t>
      </w:r>
    </w:p>
    <w:sectPr w:rsidR="006F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2A"/>
    <w:rsid w:val="006F442A"/>
    <w:rsid w:val="0073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CAPUNDAN</dc:creator>
  <cp:lastModifiedBy>CAPUNDAN</cp:lastModifiedBy>
  <cp:revision>1</cp:revision>
  <dcterms:created xsi:type="dcterms:W3CDTF">2015-09-11T02:45:00Z</dcterms:created>
  <dcterms:modified xsi:type="dcterms:W3CDTF">2015-09-11T02:48:00Z</dcterms:modified>
</cp:coreProperties>
</file>