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0CC" w:rsidRPr="00FA10CC" w:rsidRDefault="00FA10CC" w:rsidP="00FA10CC">
      <w:pPr>
        <w:spacing w:after="0" w:line="240" w:lineRule="auto"/>
        <w:jc w:val="both"/>
        <w:rPr>
          <w:i/>
        </w:rPr>
      </w:pPr>
      <w:r>
        <w:rPr>
          <w:i/>
        </w:rPr>
        <w:t>Scope and Classification</w:t>
      </w:r>
    </w:p>
    <w:p w:rsidR="00FA10CC" w:rsidRPr="00D976CB" w:rsidRDefault="00FA10CC" w:rsidP="00FA10CC">
      <w:pPr>
        <w:spacing w:after="0" w:line="240" w:lineRule="auto"/>
        <w:jc w:val="both"/>
      </w:pPr>
      <w:r w:rsidRPr="00D976CB">
        <w:t xml:space="preserve">Respondents </w:t>
      </w:r>
      <w:r>
        <w:t>are</w:t>
      </w:r>
      <w:r w:rsidRPr="00D976CB">
        <w:t xml:space="preserve"> drawn from the combined list of the</w:t>
      </w:r>
      <w:r>
        <w:t xml:space="preserve"> latest</w:t>
      </w:r>
      <w:r w:rsidRPr="00D976CB">
        <w:t xml:space="preserve"> </w:t>
      </w:r>
      <w:r>
        <w:t xml:space="preserve">available </w:t>
      </w:r>
      <w:r w:rsidRPr="00D976CB">
        <w:t>Securities and Exchange Commi</w:t>
      </w:r>
      <w:r>
        <w:t xml:space="preserve">ssion’s Top 7,000 Corporations </w:t>
      </w:r>
      <w:r w:rsidRPr="00D976CB">
        <w:t>and Business World’s Top 1000 Corporations, consisting of</w:t>
      </w:r>
      <w:r>
        <w:t xml:space="preserve"> about 1,500</w:t>
      </w:r>
      <w:r w:rsidRPr="00D976CB">
        <w:t xml:space="preserve"> </w:t>
      </w:r>
      <w:r>
        <w:t>companies [about 40 percent of which is based</w:t>
      </w:r>
      <w:r w:rsidRPr="00D976CB">
        <w:t xml:space="preserve"> in</w:t>
      </w:r>
      <w:r>
        <w:t xml:space="preserve"> the National Capital Region</w:t>
      </w:r>
      <w:r w:rsidRPr="00D976CB">
        <w:t xml:space="preserve"> </w:t>
      </w:r>
      <w:r>
        <w:t>(</w:t>
      </w:r>
      <w:r w:rsidRPr="00D976CB">
        <w:t>N</w:t>
      </w:r>
      <w:r>
        <w:t>CR) while about 60 percent of the firms are based in Areas Outside NCR</w:t>
      </w:r>
      <w:r w:rsidRPr="00D976CB">
        <w:t xml:space="preserve"> </w:t>
      </w:r>
      <w:r>
        <w:t>(</w:t>
      </w:r>
      <w:r w:rsidRPr="00D976CB">
        <w:t>AONCR</w:t>
      </w:r>
      <w:r>
        <w:t>)]</w:t>
      </w:r>
      <w:r w:rsidRPr="00D976CB">
        <w:t xml:space="preserve"> covering all 17 regions nationwide.</w:t>
      </w:r>
    </w:p>
    <w:p w:rsidR="00FA10CC" w:rsidRDefault="00FA10CC" w:rsidP="00FA10CC">
      <w:pPr>
        <w:spacing w:after="0" w:line="240" w:lineRule="auto"/>
        <w:jc w:val="both"/>
        <w:rPr>
          <w:rFonts w:eastAsia="Times New Roman" w:cs="Calibri"/>
          <w:color w:val="000000"/>
        </w:rPr>
      </w:pPr>
    </w:p>
    <w:p w:rsidR="00FA10CC" w:rsidRDefault="00FA10CC" w:rsidP="00FA10CC">
      <w:pPr>
        <w:spacing w:after="0" w:line="240" w:lineRule="auto"/>
        <w:jc w:val="both"/>
      </w:pPr>
      <w:r w:rsidRPr="00800646">
        <w:t>The BES uses the stratified random sampling design covering corporations from the combined list of SEC’s Top 7,000 Corporations and Business World’s Top 1000 Corporations (ranked based on gross revenues) as sampling</w:t>
      </w:r>
      <w:r w:rsidRPr="004F6F84">
        <w:t xml:space="preserve"> units. The combined top corporations  </w:t>
      </w:r>
      <w:r>
        <w:t>are</w:t>
      </w:r>
      <w:r w:rsidRPr="004F6F84">
        <w:t xml:space="preserve"> subdivided into 192 strata classified by region</w:t>
      </w:r>
      <w:r w:rsidRPr="004F6F84">
        <w:sym w:font="Symbol" w:char="F0BE"/>
      </w:r>
      <w:r w:rsidRPr="004F6F84">
        <w:t xml:space="preserve">NCR and Areas Outside NCR (the other 15 regions of the country) </w:t>
      </w:r>
      <w:r w:rsidRPr="004F6F84">
        <w:sym w:font="Symbol" w:char="F0BE"/>
      </w:r>
      <w:r w:rsidRPr="004F6F84">
        <w:t xml:space="preserve">and by industry sub-groups, namely: </w:t>
      </w:r>
      <w:r>
        <w:t xml:space="preserve">              </w:t>
      </w:r>
      <w:r w:rsidRPr="004F6F84">
        <w:t xml:space="preserve">(a) Group </w:t>
      </w:r>
      <w:r>
        <w:t>I</w:t>
      </w:r>
      <w:r w:rsidRPr="004F6F84">
        <w:t xml:space="preserve">: Industry, which consists of manufacturing, mining and quarrying, electricity, gas and water, and agriculture, fishery and forestry; (b) Group II: Construction; </w:t>
      </w:r>
      <w:r>
        <w:t xml:space="preserve">                        </w:t>
      </w:r>
      <w:r w:rsidRPr="004F6F84">
        <w:t>(c) Group III: Services, which consists of financial intermediation, real estate, renting and business activities, hotels and restaurants, transport, storage and communications and community, social and personal services; and (d) Group IV: Wholesale and Retail Trade. Beginning Q1 2012, industry classification of companies shifted from the 1994 Philippine Standard Industrial Classification (PSIC) to the 200</w:t>
      </w:r>
      <w:r>
        <w:t>9</w:t>
      </w:r>
      <w:r w:rsidRPr="004F6F84">
        <w:t xml:space="preserve"> PSIC.</w:t>
      </w:r>
    </w:p>
    <w:p w:rsidR="00FA10CC" w:rsidRDefault="00FA10CC" w:rsidP="00FA10CC">
      <w:pPr>
        <w:spacing w:after="0" w:line="240" w:lineRule="auto"/>
        <w:jc w:val="both"/>
      </w:pPr>
    </w:p>
    <w:p w:rsidR="00D91E92" w:rsidRDefault="00FA10CC" w:rsidP="00FA10CC">
      <w:pPr>
        <w:rPr>
          <w:rFonts w:eastAsia="Times New Roman" w:cs="Calibri"/>
          <w:color w:val="000000"/>
        </w:rPr>
      </w:pPr>
      <w:r>
        <w:rPr>
          <w:rFonts w:eastAsia="Times New Roman" w:cs="Calibri"/>
          <w:color w:val="000000"/>
        </w:rPr>
        <w:t xml:space="preserve">[Indices are generated for the following categories: </w:t>
      </w:r>
      <w:r w:rsidRPr="00327412">
        <w:rPr>
          <w:rFonts w:eastAsia="Times New Roman" w:cs="Calibri"/>
          <w:color w:val="000000"/>
        </w:rPr>
        <w:t>Philip</w:t>
      </w:r>
      <w:r>
        <w:rPr>
          <w:rFonts w:eastAsia="Times New Roman" w:cs="Calibri"/>
          <w:color w:val="000000"/>
        </w:rPr>
        <w:t>pines, NCR and AONCR; By Sector—</w:t>
      </w:r>
      <w:r w:rsidRPr="00327412">
        <w:rPr>
          <w:rFonts w:eastAsia="Times New Roman" w:cs="Calibri"/>
          <w:color w:val="000000"/>
        </w:rPr>
        <w:t>Industry, Construction, Wholesale and Retail Trade, Services (Financial Intermediation, Hotels and Restaurants, Business Activities, Real Estate, Community and Social Services, and Transportation);</w:t>
      </w:r>
      <w:r>
        <w:rPr>
          <w:rFonts w:eastAsia="Times New Roman" w:cs="Calibri"/>
          <w:color w:val="000000"/>
        </w:rPr>
        <w:t xml:space="preserve"> and </w:t>
      </w:r>
      <w:r w:rsidRPr="00327412">
        <w:rPr>
          <w:rFonts w:eastAsia="Times New Roman" w:cs="Calibri"/>
          <w:color w:val="000000"/>
        </w:rPr>
        <w:t xml:space="preserve"> Regions 1, 3, 4, 5, 6, 7, 9, 11 and 12</w:t>
      </w:r>
      <w:r>
        <w:rPr>
          <w:rFonts w:eastAsia="Times New Roman" w:cs="Calibri"/>
          <w:color w:val="000000"/>
        </w:rPr>
        <w:t>]</w:t>
      </w:r>
    </w:p>
    <w:p w:rsidR="00FA10CC" w:rsidRPr="00FA10CC" w:rsidRDefault="00FA10CC" w:rsidP="00FA10CC">
      <w:pPr>
        <w:jc w:val="center"/>
        <w:rPr>
          <w:b/>
        </w:rPr>
      </w:pPr>
      <w:bookmarkStart w:id="0" w:name="_GoBack"/>
      <w:r w:rsidRPr="00FA10CC">
        <w:rPr>
          <w:b/>
        </w:rPr>
        <w:t>Business Expectation Survey</w:t>
      </w:r>
    </w:p>
    <w:bookmarkEnd w:id="0"/>
    <w:p w:rsidR="00FA10CC" w:rsidRPr="00FA10CC" w:rsidRDefault="00FA10CC" w:rsidP="00FA10CC">
      <w:pPr>
        <w:rPr>
          <w:i/>
        </w:rPr>
      </w:pPr>
      <w:r>
        <w:rPr>
          <w:i/>
        </w:rPr>
        <w:t>Sources of Data and Methodology</w:t>
      </w:r>
    </w:p>
    <w:p w:rsidR="00FA10CC" w:rsidRDefault="00FA10CC" w:rsidP="00FA10CC">
      <w:pPr>
        <w:spacing w:after="0" w:line="240" w:lineRule="auto"/>
        <w:jc w:val="both"/>
        <w:rPr>
          <w:rFonts w:eastAsia="Times New Roman" w:cs="Calibri"/>
          <w:color w:val="000000"/>
        </w:rPr>
      </w:pPr>
      <w:r>
        <w:rPr>
          <w:rFonts w:eastAsia="Times New Roman" w:cs="Calibri"/>
          <w:color w:val="000000"/>
        </w:rPr>
        <w:t>Data are sourced from the survey responses of the BES respondents, which are selected via random sampling.</w:t>
      </w:r>
    </w:p>
    <w:p w:rsidR="00FA10CC" w:rsidRDefault="00FA10CC" w:rsidP="00FA10CC">
      <w:pPr>
        <w:spacing w:after="0" w:line="240" w:lineRule="auto"/>
        <w:jc w:val="both"/>
        <w:rPr>
          <w:rFonts w:eastAsia="Times New Roman" w:cs="Calibri"/>
          <w:color w:val="000000"/>
        </w:rPr>
      </w:pPr>
    </w:p>
    <w:p w:rsidR="00FA10CC" w:rsidRDefault="00FA10CC" w:rsidP="00FA10CC">
      <w:pPr>
        <w:spacing w:after="0" w:line="240" w:lineRule="auto"/>
        <w:jc w:val="both"/>
        <w:rPr>
          <w:rFonts w:eastAsia="Times New Roman" w:cs="Calibri"/>
          <w:color w:val="000000"/>
        </w:rPr>
      </w:pPr>
      <w:r w:rsidRPr="00D976CB">
        <w:rPr>
          <w:rFonts w:eastAsia="Times New Roman" w:cs="Calibri"/>
          <w:color w:val="000000"/>
        </w:rPr>
        <w:t>Beginning the second quarter of 2001, the BES questionnaire and methodology were harmonized based on the recommendations of the Asian Development Bank (ADB) regional technical assistance program (RETA 5938). Asian countries involved in the conduct of business tendency surveys were encouraged to adopt a core set of standard questions recommended b</w:t>
      </w:r>
      <w:r>
        <w:rPr>
          <w:rFonts w:eastAsia="Times New Roman" w:cs="Calibri"/>
          <w:color w:val="000000"/>
        </w:rPr>
        <w:t xml:space="preserve">y the Organization for Economic </w:t>
      </w:r>
      <w:r w:rsidRPr="00D976CB">
        <w:rPr>
          <w:rFonts w:eastAsia="Times New Roman" w:cs="Calibri"/>
          <w:color w:val="000000"/>
        </w:rPr>
        <w:t>Co-operation and Development (OECD) to facilitate inter-country comparisons within the region.</w:t>
      </w:r>
    </w:p>
    <w:p w:rsidR="00FA10CC" w:rsidRDefault="00FA10CC" w:rsidP="00FA10CC">
      <w:pPr>
        <w:spacing w:after="0" w:line="240" w:lineRule="auto"/>
        <w:jc w:val="both"/>
        <w:rPr>
          <w:rFonts w:eastAsia="Times New Roman" w:cs="Calibri"/>
          <w:color w:val="000000"/>
        </w:rPr>
      </w:pPr>
    </w:p>
    <w:p w:rsidR="00FA10CC" w:rsidRDefault="00FA10CC" w:rsidP="00FA10CC">
      <w:pPr>
        <w:pStyle w:val="FootnoteText"/>
        <w:jc w:val="both"/>
        <w:rPr>
          <w:rFonts w:ascii="Calibri" w:hAnsi="Calibri" w:cs="Arial"/>
          <w:sz w:val="22"/>
          <w:szCs w:val="22"/>
        </w:rPr>
      </w:pPr>
      <w:r w:rsidRPr="00D976CB">
        <w:rPr>
          <w:rFonts w:ascii="Calibri" w:hAnsi="Calibri"/>
          <w:sz w:val="22"/>
          <w:szCs w:val="22"/>
        </w:rPr>
        <w:t xml:space="preserve">BES variables are </w:t>
      </w:r>
      <w:r>
        <w:rPr>
          <w:rFonts w:ascii="Calibri" w:hAnsi="Calibri"/>
          <w:sz w:val="22"/>
          <w:szCs w:val="22"/>
        </w:rPr>
        <w:t>represented by</w:t>
      </w:r>
      <w:r>
        <w:rPr>
          <w:rFonts w:ascii="Calibri" w:hAnsi="Calibri" w:cs="Arial"/>
          <w:sz w:val="22"/>
          <w:szCs w:val="22"/>
        </w:rPr>
        <w:t xml:space="preserve"> confidence indices (CI) which are computed </w:t>
      </w:r>
      <w:r w:rsidRPr="00D976CB">
        <w:rPr>
          <w:rFonts w:ascii="Calibri" w:hAnsi="Calibri" w:cs="Arial"/>
          <w:sz w:val="22"/>
          <w:szCs w:val="22"/>
        </w:rPr>
        <w:t>as</w:t>
      </w:r>
      <w:r>
        <w:rPr>
          <w:rFonts w:ascii="Calibri" w:hAnsi="Calibri" w:cs="Arial"/>
          <w:sz w:val="22"/>
          <w:szCs w:val="22"/>
        </w:rPr>
        <w:t xml:space="preserve"> the</w:t>
      </w:r>
      <w:r w:rsidRPr="00D976CB">
        <w:rPr>
          <w:rFonts w:ascii="Calibri" w:hAnsi="Calibri" w:cs="Arial"/>
          <w:sz w:val="22"/>
          <w:szCs w:val="22"/>
        </w:rPr>
        <w:t xml:space="preserve"> percentage of firms that answered in the affirmative le</w:t>
      </w:r>
      <w:r>
        <w:rPr>
          <w:rFonts w:ascii="Calibri" w:hAnsi="Calibri" w:cs="Arial"/>
          <w:sz w:val="22"/>
          <w:szCs w:val="22"/>
        </w:rPr>
        <w:t xml:space="preserve">ss the percentage of firms that </w:t>
      </w:r>
      <w:r w:rsidRPr="00D976CB">
        <w:rPr>
          <w:rFonts w:ascii="Calibri" w:hAnsi="Calibri" w:cs="Arial"/>
          <w:sz w:val="22"/>
          <w:szCs w:val="22"/>
        </w:rPr>
        <w:t>answered in the negative with respect to their views on a given indicator.  A positive CI indicates a favorable view, except for the inflation rate and the peso-borrowing rate, where a posi</w:t>
      </w:r>
      <w:r>
        <w:rPr>
          <w:rFonts w:ascii="Calibri" w:hAnsi="Calibri" w:cs="Arial"/>
          <w:sz w:val="22"/>
          <w:szCs w:val="22"/>
        </w:rPr>
        <w:t>tive CI indicates the opposite.</w:t>
      </w:r>
    </w:p>
    <w:p w:rsidR="00FA10CC" w:rsidRDefault="00FA10CC" w:rsidP="00FA10CC">
      <w:r w:rsidRPr="00D976CB">
        <w:t xml:space="preserve">Generally, possible answers to the BES questionnaire </w:t>
      </w:r>
      <w:r>
        <w:t>are</w:t>
      </w:r>
      <w:r w:rsidRPr="00D976CB">
        <w:t xml:space="preserve"> in qualitative mode of the threefold, multiple-choice type (i.e., “improving, no change, deteriorating;” “up, </w:t>
      </w:r>
      <w:r>
        <w:t xml:space="preserve">                    </w:t>
      </w:r>
      <w:r w:rsidRPr="00D976CB">
        <w:t>no change, down;” “easy, normal, tight;” “higher, no change, lower”). Open questions on the reasons underlying the respondents’ overall outlook and limiting factors were included to obtain more objective and comprehensive analysis. However, respondents are also asked to provide numerical estimates of certain variables (i.e., capacity utilization, present technical capacity, current number of employees, inflation rate).</w:t>
      </w:r>
    </w:p>
    <w:sectPr w:rsidR="00FA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CC"/>
    <w:rsid w:val="00D91E92"/>
    <w:rsid w:val="00FA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A10C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FA10C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A10C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FA10C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2015-09-10T05:15:00Z</dcterms:created>
  <dcterms:modified xsi:type="dcterms:W3CDTF">2015-09-10T05:19:00Z</dcterms:modified>
</cp:coreProperties>
</file>