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F3" w:rsidRPr="00E545F3" w:rsidRDefault="00E545F3" w:rsidP="00E545F3">
      <w:pPr>
        <w:autoSpaceDE w:val="0"/>
        <w:autoSpaceDN w:val="0"/>
        <w:adjustRightInd w:val="0"/>
        <w:spacing w:after="0" w:line="240" w:lineRule="auto"/>
        <w:jc w:val="center"/>
        <w:rPr>
          <w:rFonts w:cs="TTE5DAD3D0t00"/>
          <w:b/>
          <w:sz w:val="32"/>
          <w:szCs w:val="32"/>
        </w:rPr>
      </w:pPr>
      <w:r w:rsidRPr="00E545F3">
        <w:rPr>
          <w:rFonts w:eastAsia="Times New Roman" w:cs="Calibri"/>
          <w:b/>
          <w:color w:val="000000"/>
          <w:sz w:val="32"/>
          <w:szCs w:val="32"/>
        </w:rPr>
        <w:t>Consumer Expectations Survey (CES)</w:t>
      </w:r>
    </w:p>
    <w:p w:rsidR="00E545F3" w:rsidRPr="00E545F3" w:rsidRDefault="00E545F3" w:rsidP="00E545F3">
      <w:pPr>
        <w:autoSpaceDE w:val="0"/>
        <w:autoSpaceDN w:val="0"/>
        <w:adjustRightInd w:val="0"/>
        <w:spacing w:after="0" w:line="240" w:lineRule="auto"/>
        <w:jc w:val="both"/>
        <w:rPr>
          <w:rFonts w:cs="TTE5DAD3D0t00"/>
          <w:i/>
        </w:rPr>
      </w:pPr>
      <w:r>
        <w:rPr>
          <w:rFonts w:cs="TTE5DAD3D0t00"/>
          <w:i/>
        </w:rPr>
        <w:t>Scope and Coverage</w:t>
      </w:r>
    </w:p>
    <w:p w:rsidR="00E545F3" w:rsidRDefault="00E545F3" w:rsidP="00E545F3">
      <w:p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 w:rsidRPr="00031B35">
        <w:rPr>
          <w:rFonts w:cs="TTE5DAD3D0t00"/>
        </w:rPr>
        <w:t xml:space="preserve">The CES started in Q3 2004 covering NCR only. </w:t>
      </w:r>
      <w:r>
        <w:rPr>
          <w:rFonts w:cs="TTE5DAD3D0t00"/>
        </w:rPr>
        <w:t xml:space="preserve"> </w:t>
      </w:r>
      <w:r w:rsidRPr="00910A2B">
        <w:rPr>
          <w:rFonts w:cs="Arial"/>
        </w:rPr>
        <w:t xml:space="preserve">Beginning in the first quarter of 2007, the CES scope was expanded to cover the whole country to include households from areas outside NCR (AONCR). The CES used the 2003 </w:t>
      </w:r>
      <w:r>
        <w:rPr>
          <w:rFonts w:cs="Arial"/>
        </w:rPr>
        <w:t>Philippine Statistics Authority</w:t>
      </w:r>
      <w:r w:rsidRPr="00910A2B">
        <w:rPr>
          <w:rFonts w:cs="Arial"/>
        </w:rPr>
        <w:t xml:space="preserve"> Master Sample (</w:t>
      </w:r>
      <w:r>
        <w:rPr>
          <w:rFonts w:cs="Arial"/>
        </w:rPr>
        <w:t>PSA</w:t>
      </w:r>
      <w:r w:rsidRPr="00910A2B">
        <w:rPr>
          <w:rFonts w:cs="Arial"/>
        </w:rPr>
        <w:t xml:space="preserve"> MS), which is considered a representative sample of households nationwide. The sample households </w:t>
      </w:r>
      <w:r>
        <w:rPr>
          <w:rFonts w:cs="Arial"/>
        </w:rPr>
        <w:t>a</w:t>
      </w:r>
      <w:r w:rsidRPr="00910A2B">
        <w:rPr>
          <w:rFonts w:cs="Arial"/>
        </w:rPr>
        <w:t>re generated using a stratified multi-stage probability sampling scheme. The nationwide sample size is about 5,000 households allocated at approximately 2,500 households each for the NCR and the AONCR.</w:t>
      </w:r>
      <w:r w:rsidRPr="00031B35">
        <w:rPr>
          <w:rFonts w:cs="TTE5DAD3D0t00"/>
        </w:rPr>
        <w:t xml:space="preserve"> </w:t>
      </w:r>
    </w:p>
    <w:p w:rsidR="00E545F3" w:rsidRDefault="00E545F3" w:rsidP="00E545F3">
      <w:p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</w:p>
    <w:p w:rsidR="00E545F3" w:rsidRDefault="00E545F3" w:rsidP="00E545F3">
      <w:p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The period covers the current and next quarters and the year ahead.</w:t>
      </w:r>
    </w:p>
    <w:p w:rsidR="00E545F3" w:rsidRDefault="00E545F3" w:rsidP="00E545F3">
      <w:p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bookmarkStart w:id="0" w:name="_GoBack"/>
      <w:bookmarkEnd w:id="0"/>
    </w:p>
    <w:p w:rsidR="00E545F3" w:rsidRDefault="00E545F3" w:rsidP="00E545F3">
      <w:p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 xml:space="preserve">The CES includes the following data items: </w:t>
      </w:r>
    </w:p>
    <w:p w:rsidR="00E545F3" w:rsidRDefault="00E545F3" w:rsidP="00E545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 xml:space="preserve">Demographic and economic characteristics </w:t>
      </w:r>
    </w:p>
    <w:p w:rsidR="00E545F3" w:rsidRDefault="00E545F3" w:rsidP="00E545F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respondent’s characteristics</w:t>
      </w:r>
    </w:p>
    <w:p w:rsidR="00E545F3" w:rsidRDefault="00E545F3" w:rsidP="00E545F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household characteristics</w:t>
      </w:r>
    </w:p>
    <w:p w:rsidR="00E545F3" w:rsidRDefault="00E545F3" w:rsidP="00E545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Economic and financial outlook</w:t>
      </w:r>
    </w:p>
    <w:p w:rsidR="00E545F3" w:rsidRDefault="00E545F3" w:rsidP="00E545F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Family’s financial situation</w:t>
      </w:r>
    </w:p>
    <w:p w:rsidR="00E545F3" w:rsidRDefault="00E545F3" w:rsidP="00E545F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Country’s economic condition</w:t>
      </w:r>
    </w:p>
    <w:p w:rsidR="00E545F3" w:rsidRDefault="00E545F3" w:rsidP="00E545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Economic indicators</w:t>
      </w:r>
    </w:p>
    <w:p w:rsidR="00E545F3" w:rsidRDefault="00E545F3" w:rsidP="00E545F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Unemployment</w:t>
      </w:r>
    </w:p>
    <w:p w:rsidR="00E545F3" w:rsidRDefault="00E545F3" w:rsidP="00E545F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peso/dollar exchange rate</w:t>
      </w:r>
    </w:p>
    <w:p w:rsidR="00E545F3" w:rsidRDefault="00E545F3" w:rsidP="00E545F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 xml:space="preserve">interest rate </w:t>
      </w:r>
    </w:p>
    <w:p w:rsidR="00E545F3" w:rsidRDefault="00E545F3" w:rsidP="00E545F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inflation rate</w:t>
      </w:r>
    </w:p>
    <w:p w:rsidR="00E545F3" w:rsidRDefault="00E545F3" w:rsidP="00E545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Buying conditions</w:t>
      </w:r>
    </w:p>
    <w:p w:rsidR="00E545F3" w:rsidRDefault="00E545F3" w:rsidP="00E545F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Family income</w:t>
      </w:r>
    </w:p>
    <w:p w:rsidR="00E545F3" w:rsidRDefault="00E545F3" w:rsidP="00E545F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Buying conditions for big ticket items such as house and lot, consumer durables and motor vehicles</w:t>
      </w:r>
    </w:p>
    <w:p w:rsidR="00E545F3" w:rsidRDefault="00E545F3" w:rsidP="00E545F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Buying intentions for big ticket items such as house and lot, consumer durables and motor vehicles</w:t>
      </w:r>
    </w:p>
    <w:p w:rsidR="00E545F3" w:rsidRDefault="00E545F3" w:rsidP="00E545F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TE5DAD3D0t00"/>
        </w:rPr>
      </w:pPr>
      <w:r>
        <w:rPr>
          <w:rFonts w:cs="TTE5DAD3D0t00"/>
        </w:rPr>
        <w:t>Expenditures on basic goods and services</w:t>
      </w:r>
    </w:p>
    <w:p w:rsidR="00E545F3" w:rsidRPr="009404CD" w:rsidRDefault="00E545F3" w:rsidP="00E545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9404CD">
        <w:rPr>
          <w:rFonts w:cs="TTE5DAD3D0t00"/>
        </w:rPr>
        <w:t>Savings outlook</w:t>
      </w:r>
    </w:p>
    <w:p w:rsidR="001C6956" w:rsidRDefault="001C6956"/>
    <w:p w:rsidR="00E545F3" w:rsidRPr="00E545F3" w:rsidRDefault="00E545F3">
      <w:pPr>
        <w:rPr>
          <w:i/>
        </w:rPr>
      </w:pPr>
      <w:r>
        <w:rPr>
          <w:i/>
        </w:rPr>
        <w:t>Sources of Data and Methodology</w:t>
      </w:r>
    </w:p>
    <w:p w:rsidR="00E545F3" w:rsidRDefault="00E545F3">
      <w:pPr>
        <w:rPr>
          <w:rFonts w:cs="Arial"/>
        </w:rPr>
      </w:pPr>
      <w:r>
        <w:rPr>
          <w:rFonts w:cs="Arial"/>
        </w:rPr>
        <w:t xml:space="preserve">Data are generated from the survey responses of the sample households where confidence indices (CIs) are derived.  The CIs are generated on the following variables:  economic condition of the country, family’s financial situation and income, economic indicators (unemployment, inflation and interest rates, and peso/dollar exchange rate), and expenditures on basic goods and services.  </w:t>
      </w:r>
    </w:p>
    <w:p w:rsidR="00E545F3" w:rsidRDefault="00E545F3" w:rsidP="00E545F3">
      <w:pPr>
        <w:spacing w:after="0" w:line="240" w:lineRule="auto"/>
        <w:jc w:val="both"/>
        <w:rPr>
          <w:rFonts w:cs="TTE5DAD3D0t00"/>
        </w:rPr>
      </w:pPr>
      <w:r>
        <w:rPr>
          <w:rFonts w:cs="Arial"/>
        </w:rPr>
        <w:t xml:space="preserve">Meanwhile, percentages are obtained in buying conditions, buying intentions and savings. </w:t>
      </w:r>
    </w:p>
    <w:p w:rsidR="00E545F3" w:rsidRDefault="00E545F3" w:rsidP="00E545F3">
      <w:pPr>
        <w:spacing w:after="0" w:line="240" w:lineRule="auto"/>
        <w:jc w:val="both"/>
        <w:rPr>
          <w:rFonts w:cs="TTE5DAD3D0t00"/>
        </w:rPr>
      </w:pPr>
    </w:p>
    <w:p w:rsidR="00E545F3" w:rsidRDefault="00E545F3" w:rsidP="00E545F3">
      <w:pPr>
        <w:spacing w:after="0" w:line="240" w:lineRule="auto"/>
        <w:jc w:val="both"/>
        <w:rPr>
          <w:rFonts w:cs="Arial"/>
        </w:rPr>
      </w:pPr>
      <w:r w:rsidRPr="00846FAE">
        <w:rPr>
          <w:rFonts w:cs="Arial"/>
        </w:rPr>
        <w:t xml:space="preserve">The CI is computed as the percentage of households that answered in the affirmative less the percentage of households that answered in the negative with respect to their views on a given indicator. A positive CI indicates a favorable view, except for the inflation rate and the peso-borrowing rate, where a positive CI indicates the opposite. </w:t>
      </w:r>
    </w:p>
    <w:p w:rsidR="00E545F3" w:rsidRDefault="00E545F3" w:rsidP="00E545F3">
      <w:pPr>
        <w:spacing w:after="0" w:line="240" w:lineRule="auto"/>
        <w:jc w:val="both"/>
        <w:rPr>
          <w:rFonts w:cs="Arial"/>
        </w:rPr>
      </w:pPr>
    </w:p>
    <w:p w:rsidR="00E545F3" w:rsidRDefault="00E545F3" w:rsidP="00E545F3">
      <w:r w:rsidRPr="00846FAE">
        <w:rPr>
          <w:rFonts w:cs="Arial"/>
        </w:rPr>
        <w:lastRenderedPageBreak/>
        <w:t xml:space="preserve">The overall consumer CI </w:t>
      </w:r>
      <w:r>
        <w:rPr>
          <w:rFonts w:cs="Arial"/>
        </w:rPr>
        <w:t xml:space="preserve">is obtained by taking the average of the CIs of the </w:t>
      </w:r>
      <w:r w:rsidRPr="00846FAE">
        <w:rPr>
          <w:rFonts w:cs="Arial"/>
        </w:rPr>
        <w:t>three indicators</w:t>
      </w:r>
      <w:r>
        <w:rPr>
          <w:rFonts w:cs="Arial"/>
        </w:rPr>
        <w:t>—economic condition of the country</w:t>
      </w:r>
      <w:r w:rsidRPr="00846FAE">
        <w:rPr>
          <w:rFonts w:cs="Arial"/>
        </w:rPr>
        <w:t>, household finances, and household income</w:t>
      </w:r>
      <w:r>
        <w:rPr>
          <w:rFonts w:cs="Arial"/>
        </w:rPr>
        <w:t>.</w:t>
      </w:r>
    </w:p>
    <w:sectPr w:rsidR="00E5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5DAD3D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16B1"/>
    <w:multiLevelType w:val="hybridMultilevel"/>
    <w:tmpl w:val="4FDAF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650AD8"/>
    <w:multiLevelType w:val="hybridMultilevel"/>
    <w:tmpl w:val="66D6A66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16334463"/>
    <w:multiLevelType w:val="hybridMultilevel"/>
    <w:tmpl w:val="A5D46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2B00AF"/>
    <w:multiLevelType w:val="hybridMultilevel"/>
    <w:tmpl w:val="C088C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4A6DE8"/>
    <w:multiLevelType w:val="hybridMultilevel"/>
    <w:tmpl w:val="1A88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F3"/>
    <w:rsid w:val="001C6956"/>
    <w:rsid w:val="00E5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F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F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1</cp:revision>
  <dcterms:created xsi:type="dcterms:W3CDTF">2015-09-10T03:15:00Z</dcterms:created>
  <dcterms:modified xsi:type="dcterms:W3CDTF">2015-09-10T03:17:00Z</dcterms:modified>
</cp:coreProperties>
</file>