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7F3" w:rsidRDefault="009B67F3" w:rsidP="009B67F3">
      <w:pPr>
        <w:spacing w:after="0" w:line="240" w:lineRule="auto"/>
        <w:jc w:val="both"/>
        <w:rPr>
          <w:i/>
        </w:rPr>
      </w:pPr>
    </w:p>
    <w:p w:rsidR="009B67F3" w:rsidRDefault="009B67F3" w:rsidP="009B67F3">
      <w:pPr>
        <w:spacing w:after="0" w:line="240" w:lineRule="auto"/>
        <w:jc w:val="center"/>
        <w:rPr>
          <w:rFonts w:eastAsia="Times New Roman"/>
          <w:b/>
          <w:color w:val="000000"/>
          <w:sz w:val="32"/>
          <w:szCs w:val="32"/>
        </w:rPr>
      </w:pPr>
      <w:r w:rsidRPr="009B67F3">
        <w:rPr>
          <w:rFonts w:eastAsia="Times New Roman"/>
          <w:b/>
          <w:color w:val="000000"/>
          <w:sz w:val="32"/>
          <w:szCs w:val="32"/>
        </w:rPr>
        <w:t>Consumer Price Index, Inflation and Purchasing Power of the Peso</w:t>
      </w:r>
    </w:p>
    <w:p w:rsidR="009B67F3" w:rsidRPr="009B67F3" w:rsidRDefault="009B67F3" w:rsidP="009B67F3">
      <w:pPr>
        <w:spacing w:after="0" w:line="240" w:lineRule="auto"/>
        <w:jc w:val="center"/>
        <w:rPr>
          <w:b/>
          <w:sz w:val="32"/>
          <w:szCs w:val="32"/>
        </w:rPr>
      </w:pPr>
    </w:p>
    <w:p w:rsidR="009B67F3" w:rsidRPr="009B67F3" w:rsidRDefault="009B67F3" w:rsidP="009B67F3">
      <w:pPr>
        <w:spacing w:after="0" w:line="240" w:lineRule="auto"/>
        <w:jc w:val="both"/>
        <w:rPr>
          <w:i/>
        </w:rPr>
      </w:pPr>
      <w:r>
        <w:rPr>
          <w:i/>
        </w:rPr>
        <w:t>Scope and Classification</w:t>
      </w:r>
    </w:p>
    <w:p w:rsidR="009B67F3" w:rsidRPr="00B8153A" w:rsidRDefault="009B67F3" w:rsidP="009B67F3">
      <w:pPr>
        <w:spacing w:after="0" w:line="240" w:lineRule="auto"/>
        <w:jc w:val="both"/>
      </w:pPr>
      <w:r w:rsidRPr="00B8153A">
        <w:t>The CPI covers all resident households across all income levels in both urban and rural areas, except “institutionalized” persons</w:t>
      </w:r>
      <w:r>
        <w:t xml:space="preserve"> (those found living in institutional quarters such as penal institutions, orphanages, hospitals, military camps, etc.)</w:t>
      </w:r>
      <w:r w:rsidRPr="00B8153A">
        <w:t>.</w:t>
      </w:r>
    </w:p>
    <w:p w:rsidR="009B67F3" w:rsidRPr="00B8153A" w:rsidRDefault="009B67F3" w:rsidP="009B67F3">
      <w:pPr>
        <w:spacing w:after="0" w:line="240" w:lineRule="auto"/>
        <w:jc w:val="both"/>
        <w:rPr>
          <w:sz w:val="16"/>
          <w:szCs w:val="16"/>
        </w:rPr>
      </w:pPr>
    </w:p>
    <w:p w:rsidR="009B67F3" w:rsidRPr="00B8153A" w:rsidRDefault="009B67F3" w:rsidP="009B67F3">
      <w:pPr>
        <w:spacing w:after="0" w:line="240" w:lineRule="auto"/>
        <w:jc w:val="both"/>
      </w:pPr>
      <w:r w:rsidRPr="00B8153A">
        <w:t xml:space="preserve">Transactions covered by the CPI </w:t>
      </w:r>
      <w:r>
        <w:t>follow</w:t>
      </w:r>
      <w:r w:rsidRPr="00B8153A">
        <w:t xml:space="preserve"> the household final consumption</w:t>
      </w:r>
      <w:r>
        <w:t xml:space="preserve"> as</w:t>
      </w:r>
      <w:r w:rsidRPr="00B8153A">
        <w:t xml:space="preserve"> defined in the 1993 System of National Accounts (SNA). In particular, expenditure</w:t>
      </w:r>
      <w:r>
        <w:t>s</w:t>
      </w:r>
      <w:r w:rsidRPr="00B8153A">
        <w:t xml:space="preserve"> on capital formatio</w:t>
      </w:r>
      <w:bookmarkStart w:id="0" w:name="_GoBack"/>
      <w:bookmarkEnd w:id="0"/>
      <w:r w:rsidRPr="00B8153A">
        <w:t xml:space="preserve">n in </w:t>
      </w:r>
      <w:r>
        <w:t xml:space="preserve">the </w:t>
      </w:r>
      <w:r w:rsidRPr="00B8153A">
        <w:t>form of owner</w:t>
      </w:r>
      <w:r>
        <w:t>-</w:t>
      </w:r>
      <w:r w:rsidRPr="00B8153A">
        <w:t xml:space="preserve">occupied housing </w:t>
      </w:r>
      <w:proofErr w:type="gramStart"/>
      <w:r w:rsidRPr="00B8153A">
        <w:t>is</w:t>
      </w:r>
      <w:proofErr w:type="gramEnd"/>
      <w:r w:rsidRPr="00B8153A">
        <w:t xml:space="preserve"> included, as well as production for own final consumption. Also, as is customary, gifts and contribution to others and some other disbursements are excluded, as well as illegal market goods and services. Durable consumer goods bought </w:t>
      </w:r>
      <w:r>
        <w:t>i</w:t>
      </w:r>
      <w:r w:rsidRPr="00B8153A">
        <w:t>n second hand markets are left out of the price collection. Prices of sample commodities/services are quoted from the sample outlets or sample establishments nationwide.</w:t>
      </w:r>
    </w:p>
    <w:p w:rsidR="009B67F3" w:rsidRPr="00355BA0" w:rsidRDefault="009B67F3" w:rsidP="009B67F3">
      <w:pPr>
        <w:spacing w:before="60" w:after="0" w:line="240" w:lineRule="auto"/>
        <w:jc w:val="both"/>
        <w:rPr>
          <w:sz w:val="4"/>
          <w:szCs w:val="16"/>
        </w:rPr>
      </w:pPr>
    </w:p>
    <w:p w:rsidR="009B67F3" w:rsidRPr="00B8153A" w:rsidRDefault="009B67F3" w:rsidP="009B67F3">
      <w:pPr>
        <w:spacing w:before="60" w:after="0" w:line="240" w:lineRule="auto"/>
        <w:jc w:val="both"/>
      </w:pPr>
      <w:r w:rsidRPr="00B8153A">
        <w:t xml:space="preserve">The CPI is computed at the national and regional level as follows: </w:t>
      </w:r>
    </w:p>
    <w:p w:rsidR="009B67F3" w:rsidRPr="00B8153A" w:rsidRDefault="009B67F3" w:rsidP="009B67F3">
      <w:pPr>
        <w:spacing w:after="0" w:line="240" w:lineRule="auto"/>
        <w:jc w:val="both"/>
        <w:rPr>
          <w:sz w:val="16"/>
          <w:szCs w:val="16"/>
        </w:rPr>
      </w:pPr>
    </w:p>
    <w:p w:rsidR="009B67F3" w:rsidRPr="00B8153A" w:rsidRDefault="009B67F3" w:rsidP="009B67F3">
      <w:pPr>
        <w:numPr>
          <w:ilvl w:val="0"/>
          <w:numId w:val="2"/>
        </w:numPr>
        <w:spacing w:after="0" w:line="240" w:lineRule="auto"/>
        <w:jc w:val="both"/>
      </w:pPr>
      <w:r w:rsidRPr="00B8153A">
        <w:t>Philippines</w:t>
      </w:r>
    </w:p>
    <w:p w:rsidR="009B67F3" w:rsidRPr="00B8153A" w:rsidRDefault="009B67F3" w:rsidP="009B67F3">
      <w:pPr>
        <w:numPr>
          <w:ilvl w:val="0"/>
          <w:numId w:val="2"/>
        </w:numPr>
        <w:spacing w:after="0" w:line="240" w:lineRule="auto"/>
        <w:jc w:val="both"/>
      </w:pPr>
      <w:r w:rsidRPr="00B8153A">
        <w:t>CAR – Cordillera Administrative Region</w:t>
      </w:r>
    </w:p>
    <w:p w:rsidR="009B67F3" w:rsidRPr="00B8153A" w:rsidRDefault="009B67F3" w:rsidP="009B67F3">
      <w:pPr>
        <w:numPr>
          <w:ilvl w:val="0"/>
          <w:numId w:val="2"/>
        </w:numPr>
        <w:spacing w:after="0" w:line="240" w:lineRule="auto"/>
        <w:jc w:val="both"/>
      </w:pPr>
      <w:r w:rsidRPr="00B8153A">
        <w:t xml:space="preserve">Region I – </w:t>
      </w:r>
      <w:proofErr w:type="spellStart"/>
      <w:r w:rsidRPr="00B8153A">
        <w:t>Ilocos</w:t>
      </w:r>
      <w:proofErr w:type="spellEnd"/>
      <w:r w:rsidRPr="00B8153A">
        <w:t xml:space="preserve"> Region</w:t>
      </w:r>
    </w:p>
    <w:p w:rsidR="009B67F3" w:rsidRPr="00B8153A" w:rsidRDefault="009B67F3" w:rsidP="009B67F3">
      <w:pPr>
        <w:numPr>
          <w:ilvl w:val="0"/>
          <w:numId w:val="2"/>
        </w:numPr>
        <w:spacing w:after="0" w:line="240" w:lineRule="auto"/>
        <w:jc w:val="both"/>
      </w:pPr>
      <w:r w:rsidRPr="00B8153A">
        <w:t>Region II – Cagayan Valley</w:t>
      </w:r>
    </w:p>
    <w:p w:rsidR="009B67F3" w:rsidRPr="00B8153A" w:rsidRDefault="009B67F3" w:rsidP="009B67F3">
      <w:pPr>
        <w:numPr>
          <w:ilvl w:val="0"/>
          <w:numId w:val="2"/>
        </w:numPr>
        <w:spacing w:after="0" w:line="240" w:lineRule="auto"/>
        <w:jc w:val="both"/>
      </w:pPr>
      <w:r w:rsidRPr="00B8153A">
        <w:t>Region III – Central Luzon</w:t>
      </w:r>
    </w:p>
    <w:p w:rsidR="009B67F3" w:rsidRPr="00B8153A" w:rsidRDefault="009B67F3" w:rsidP="009B67F3">
      <w:pPr>
        <w:numPr>
          <w:ilvl w:val="0"/>
          <w:numId w:val="2"/>
        </w:numPr>
        <w:spacing w:after="0" w:line="240" w:lineRule="auto"/>
        <w:jc w:val="both"/>
      </w:pPr>
      <w:r w:rsidRPr="00B8153A">
        <w:t>Region IVA – CALABARZON</w:t>
      </w:r>
    </w:p>
    <w:p w:rsidR="009B67F3" w:rsidRPr="00B8153A" w:rsidRDefault="009B67F3" w:rsidP="009B67F3">
      <w:pPr>
        <w:numPr>
          <w:ilvl w:val="0"/>
          <w:numId w:val="2"/>
        </w:numPr>
        <w:spacing w:after="0" w:line="240" w:lineRule="auto"/>
        <w:jc w:val="both"/>
      </w:pPr>
      <w:r w:rsidRPr="00B8153A">
        <w:t>Region IVB – MIMAROPA</w:t>
      </w:r>
    </w:p>
    <w:p w:rsidR="009B67F3" w:rsidRPr="00B8153A" w:rsidRDefault="009B67F3" w:rsidP="009B67F3">
      <w:pPr>
        <w:numPr>
          <w:ilvl w:val="0"/>
          <w:numId w:val="2"/>
        </w:numPr>
        <w:spacing w:after="0" w:line="240" w:lineRule="auto"/>
        <w:jc w:val="both"/>
      </w:pPr>
      <w:r w:rsidRPr="00B8153A">
        <w:t>Region V – Bicol Region</w:t>
      </w:r>
    </w:p>
    <w:p w:rsidR="009B67F3" w:rsidRPr="00B8153A" w:rsidRDefault="009B67F3" w:rsidP="009B67F3">
      <w:pPr>
        <w:numPr>
          <w:ilvl w:val="0"/>
          <w:numId w:val="2"/>
        </w:numPr>
        <w:spacing w:after="0" w:line="240" w:lineRule="auto"/>
        <w:jc w:val="both"/>
      </w:pPr>
      <w:r w:rsidRPr="00B8153A">
        <w:t xml:space="preserve">Region VI – Western </w:t>
      </w:r>
      <w:proofErr w:type="spellStart"/>
      <w:r w:rsidRPr="00B8153A">
        <w:t>Visayas</w:t>
      </w:r>
      <w:proofErr w:type="spellEnd"/>
    </w:p>
    <w:p w:rsidR="009B67F3" w:rsidRPr="00B8153A" w:rsidRDefault="009B67F3" w:rsidP="009B67F3">
      <w:pPr>
        <w:numPr>
          <w:ilvl w:val="0"/>
          <w:numId w:val="2"/>
        </w:numPr>
        <w:spacing w:after="0" w:line="240" w:lineRule="auto"/>
        <w:jc w:val="both"/>
      </w:pPr>
      <w:r w:rsidRPr="00B8153A">
        <w:t xml:space="preserve">Region VII – Central </w:t>
      </w:r>
      <w:proofErr w:type="spellStart"/>
      <w:r w:rsidRPr="00B8153A">
        <w:t>Visayas</w:t>
      </w:r>
      <w:proofErr w:type="spellEnd"/>
    </w:p>
    <w:p w:rsidR="009B67F3" w:rsidRPr="00B8153A" w:rsidRDefault="009B67F3" w:rsidP="009B67F3">
      <w:pPr>
        <w:numPr>
          <w:ilvl w:val="0"/>
          <w:numId w:val="2"/>
        </w:numPr>
        <w:spacing w:after="0" w:line="240" w:lineRule="auto"/>
        <w:jc w:val="both"/>
      </w:pPr>
      <w:r w:rsidRPr="00B8153A">
        <w:t xml:space="preserve">Region VIII – Eastern </w:t>
      </w:r>
      <w:proofErr w:type="spellStart"/>
      <w:r w:rsidRPr="00B8153A">
        <w:t>Visayas</w:t>
      </w:r>
      <w:proofErr w:type="spellEnd"/>
    </w:p>
    <w:p w:rsidR="009B67F3" w:rsidRPr="00B8153A" w:rsidRDefault="009B67F3" w:rsidP="009B67F3">
      <w:pPr>
        <w:numPr>
          <w:ilvl w:val="0"/>
          <w:numId w:val="2"/>
        </w:numPr>
        <w:spacing w:after="0" w:line="240" w:lineRule="auto"/>
        <w:jc w:val="both"/>
      </w:pPr>
      <w:r w:rsidRPr="00B8153A">
        <w:t>Region IX – Zamboanga Peninsula</w:t>
      </w:r>
    </w:p>
    <w:p w:rsidR="009B67F3" w:rsidRPr="00B8153A" w:rsidRDefault="009B67F3" w:rsidP="009B67F3">
      <w:pPr>
        <w:numPr>
          <w:ilvl w:val="0"/>
          <w:numId w:val="2"/>
        </w:numPr>
        <w:spacing w:after="0" w:line="240" w:lineRule="auto"/>
        <w:jc w:val="both"/>
      </w:pPr>
      <w:r w:rsidRPr="00B8153A">
        <w:t>Region X – Northern Mindanao</w:t>
      </w:r>
    </w:p>
    <w:p w:rsidR="009B67F3" w:rsidRPr="00B8153A" w:rsidRDefault="009B67F3" w:rsidP="009B67F3">
      <w:pPr>
        <w:numPr>
          <w:ilvl w:val="0"/>
          <w:numId w:val="2"/>
        </w:numPr>
        <w:spacing w:after="0" w:line="240" w:lineRule="auto"/>
        <w:jc w:val="both"/>
      </w:pPr>
      <w:r w:rsidRPr="00B8153A">
        <w:t>Region XI – Davao Region</w:t>
      </w:r>
    </w:p>
    <w:p w:rsidR="009B67F3" w:rsidRPr="00B8153A" w:rsidRDefault="009B67F3" w:rsidP="009B67F3">
      <w:pPr>
        <w:numPr>
          <w:ilvl w:val="0"/>
          <w:numId w:val="2"/>
        </w:numPr>
        <w:spacing w:after="0" w:line="240" w:lineRule="auto"/>
        <w:jc w:val="both"/>
      </w:pPr>
      <w:r w:rsidRPr="00B8153A">
        <w:t>Region XII – SOCCSKSARGEN</w:t>
      </w:r>
    </w:p>
    <w:p w:rsidR="009B67F3" w:rsidRPr="00B8153A" w:rsidRDefault="009B67F3" w:rsidP="009B67F3">
      <w:pPr>
        <w:numPr>
          <w:ilvl w:val="0"/>
          <w:numId w:val="2"/>
        </w:numPr>
        <w:spacing w:after="0" w:line="240" w:lineRule="auto"/>
        <w:jc w:val="both"/>
      </w:pPr>
      <w:r w:rsidRPr="00B8153A">
        <w:t xml:space="preserve">Region XIII – </w:t>
      </w:r>
      <w:proofErr w:type="spellStart"/>
      <w:r w:rsidRPr="00B8153A">
        <w:t>Caraga</w:t>
      </w:r>
      <w:proofErr w:type="spellEnd"/>
    </w:p>
    <w:p w:rsidR="009B67F3" w:rsidRPr="00B8153A" w:rsidRDefault="009B67F3" w:rsidP="009B67F3">
      <w:pPr>
        <w:numPr>
          <w:ilvl w:val="0"/>
          <w:numId w:val="2"/>
        </w:numPr>
        <w:spacing w:after="0" w:line="240" w:lineRule="auto"/>
        <w:jc w:val="both"/>
      </w:pPr>
      <w:r w:rsidRPr="00B8153A">
        <w:t xml:space="preserve">ARMM </w:t>
      </w:r>
    </w:p>
    <w:p w:rsidR="009B67F3" w:rsidRPr="00B8153A" w:rsidRDefault="009B67F3" w:rsidP="009B67F3">
      <w:pPr>
        <w:spacing w:after="0" w:line="240" w:lineRule="auto"/>
        <w:ind w:left="1080"/>
        <w:jc w:val="both"/>
        <w:rPr>
          <w:sz w:val="16"/>
          <w:szCs w:val="16"/>
        </w:rPr>
      </w:pPr>
    </w:p>
    <w:p w:rsidR="009B67F3" w:rsidRPr="00B8153A" w:rsidRDefault="009B67F3" w:rsidP="009B67F3">
      <w:pPr>
        <w:spacing w:after="0" w:line="240" w:lineRule="auto"/>
        <w:jc w:val="both"/>
      </w:pPr>
      <w:r w:rsidRPr="00B8153A">
        <w:t xml:space="preserve">CPI values are also computed for the National Capital Region (NCR) and for Areas </w:t>
      </w:r>
      <w:proofErr w:type="gramStart"/>
      <w:r w:rsidRPr="00B8153A">
        <w:t>Outside</w:t>
      </w:r>
      <w:proofErr w:type="gramEnd"/>
      <w:r w:rsidRPr="00B8153A">
        <w:t xml:space="preserve"> NCR (AONCR). </w:t>
      </w:r>
    </w:p>
    <w:p w:rsidR="009B67F3" w:rsidRPr="00B8153A" w:rsidRDefault="009B67F3" w:rsidP="009B67F3">
      <w:pPr>
        <w:spacing w:after="0" w:line="240" w:lineRule="auto"/>
        <w:jc w:val="both"/>
        <w:rPr>
          <w:sz w:val="16"/>
          <w:szCs w:val="16"/>
        </w:rPr>
      </w:pPr>
    </w:p>
    <w:p w:rsidR="009B67F3" w:rsidRPr="00B8153A" w:rsidRDefault="009B67F3" w:rsidP="009B67F3">
      <w:pPr>
        <w:spacing w:after="0" w:line="240" w:lineRule="auto"/>
        <w:jc w:val="both"/>
      </w:pPr>
      <w:r w:rsidRPr="00B8153A">
        <w:t xml:space="preserve">CPI values are likewise computed by commodity group based on the Philippine Classification </w:t>
      </w:r>
      <w:proofErr w:type="gramStart"/>
      <w:r w:rsidRPr="00B8153A">
        <w:t>Of</w:t>
      </w:r>
      <w:proofErr w:type="gramEnd"/>
      <w:r w:rsidRPr="00B8153A">
        <w:t xml:space="preserve"> Individual Consumption According to Purpose (PCOICOP) as follows:</w:t>
      </w:r>
    </w:p>
    <w:p w:rsidR="009B67F3" w:rsidRPr="00B8153A" w:rsidRDefault="009B67F3" w:rsidP="009B67F3">
      <w:pPr>
        <w:spacing w:after="0" w:line="240" w:lineRule="auto"/>
        <w:jc w:val="both"/>
      </w:pPr>
    </w:p>
    <w:p w:rsidR="009B67F3" w:rsidRPr="00B8153A" w:rsidRDefault="009B67F3" w:rsidP="009B67F3">
      <w:pPr>
        <w:numPr>
          <w:ilvl w:val="0"/>
          <w:numId w:val="1"/>
        </w:numPr>
        <w:spacing w:after="0" w:line="240" w:lineRule="auto"/>
        <w:jc w:val="both"/>
      </w:pPr>
      <w:r w:rsidRPr="00B8153A">
        <w:t>All Items</w:t>
      </w:r>
    </w:p>
    <w:p w:rsidR="009B67F3" w:rsidRPr="00B8153A" w:rsidRDefault="009B67F3" w:rsidP="009B67F3">
      <w:pPr>
        <w:numPr>
          <w:ilvl w:val="0"/>
          <w:numId w:val="1"/>
        </w:numPr>
        <w:spacing w:after="0" w:line="240" w:lineRule="auto"/>
        <w:jc w:val="both"/>
      </w:pPr>
      <w:r w:rsidRPr="00B8153A">
        <w:t>Food and Non-Alcoholic Beverages</w:t>
      </w:r>
    </w:p>
    <w:p w:rsidR="009B67F3" w:rsidRPr="00B8153A" w:rsidRDefault="009B67F3" w:rsidP="009B67F3">
      <w:pPr>
        <w:numPr>
          <w:ilvl w:val="0"/>
          <w:numId w:val="1"/>
        </w:numPr>
        <w:spacing w:after="0" w:line="240" w:lineRule="auto"/>
        <w:jc w:val="both"/>
      </w:pPr>
      <w:r w:rsidRPr="00B8153A">
        <w:t>Alcoholic Beverages and Tobacco</w:t>
      </w:r>
    </w:p>
    <w:p w:rsidR="009B67F3" w:rsidRPr="00B8153A" w:rsidRDefault="009B67F3" w:rsidP="009B67F3">
      <w:pPr>
        <w:numPr>
          <w:ilvl w:val="0"/>
          <w:numId w:val="1"/>
        </w:numPr>
        <w:spacing w:after="0" w:line="240" w:lineRule="auto"/>
        <w:jc w:val="both"/>
      </w:pPr>
      <w:r w:rsidRPr="00B8153A">
        <w:t>Clothing and Footwear</w:t>
      </w:r>
    </w:p>
    <w:p w:rsidR="009B67F3" w:rsidRPr="00B8153A" w:rsidRDefault="009B67F3" w:rsidP="009B67F3">
      <w:pPr>
        <w:numPr>
          <w:ilvl w:val="0"/>
          <w:numId w:val="1"/>
        </w:numPr>
        <w:spacing w:after="0" w:line="240" w:lineRule="auto"/>
        <w:jc w:val="both"/>
      </w:pPr>
      <w:r w:rsidRPr="00B8153A">
        <w:t>Housing, Water, Electricity, Gas and Other Fuels</w:t>
      </w:r>
    </w:p>
    <w:p w:rsidR="009B67F3" w:rsidRPr="00B8153A" w:rsidRDefault="009B67F3" w:rsidP="009B67F3">
      <w:pPr>
        <w:numPr>
          <w:ilvl w:val="0"/>
          <w:numId w:val="1"/>
        </w:numPr>
        <w:spacing w:after="0" w:line="240" w:lineRule="auto"/>
        <w:jc w:val="both"/>
      </w:pPr>
      <w:r w:rsidRPr="00B8153A">
        <w:t>Furnishing, Household Equipment and Routine Maintenance of House</w:t>
      </w:r>
    </w:p>
    <w:p w:rsidR="009B67F3" w:rsidRPr="00B8153A" w:rsidRDefault="009B67F3" w:rsidP="009B67F3">
      <w:pPr>
        <w:numPr>
          <w:ilvl w:val="0"/>
          <w:numId w:val="1"/>
        </w:numPr>
        <w:spacing w:after="0" w:line="240" w:lineRule="auto"/>
        <w:jc w:val="both"/>
      </w:pPr>
      <w:r w:rsidRPr="00B8153A">
        <w:t>Health</w:t>
      </w:r>
    </w:p>
    <w:p w:rsidR="009B67F3" w:rsidRPr="00B8153A" w:rsidRDefault="009B67F3" w:rsidP="009B67F3">
      <w:pPr>
        <w:numPr>
          <w:ilvl w:val="0"/>
          <w:numId w:val="1"/>
        </w:numPr>
        <w:spacing w:after="0" w:line="240" w:lineRule="auto"/>
        <w:jc w:val="both"/>
      </w:pPr>
      <w:r w:rsidRPr="00B8153A">
        <w:lastRenderedPageBreak/>
        <w:t>Transport</w:t>
      </w:r>
    </w:p>
    <w:p w:rsidR="009B67F3" w:rsidRPr="00B8153A" w:rsidRDefault="009B67F3" w:rsidP="009B67F3">
      <w:pPr>
        <w:numPr>
          <w:ilvl w:val="0"/>
          <w:numId w:val="1"/>
        </w:numPr>
        <w:spacing w:after="0" w:line="240" w:lineRule="auto"/>
        <w:jc w:val="both"/>
      </w:pPr>
      <w:r w:rsidRPr="00B8153A">
        <w:t>Communication</w:t>
      </w:r>
    </w:p>
    <w:p w:rsidR="009B67F3" w:rsidRPr="00B8153A" w:rsidRDefault="009B67F3" w:rsidP="009B67F3">
      <w:pPr>
        <w:numPr>
          <w:ilvl w:val="0"/>
          <w:numId w:val="1"/>
        </w:numPr>
        <w:spacing w:after="0" w:line="240" w:lineRule="auto"/>
        <w:jc w:val="both"/>
      </w:pPr>
      <w:r w:rsidRPr="00B8153A">
        <w:t>Recreation and Culture</w:t>
      </w:r>
    </w:p>
    <w:p w:rsidR="009B67F3" w:rsidRPr="00B8153A" w:rsidRDefault="009B67F3" w:rsidP="009B67F3">
      <w:pPr>
        <w:numPr>
          <w:ilvl w:val="0"/>
          <w:numId w:val="1"/>
        </w:numPr>
        <w:spacing w:after="0" w:line="240" w:lineRule="auto"/>
        <w:jc w:val="both"/>
      </w:pPr>
      <w:r w:rsidRPr="00B8153A">
        <w:t>Education</w:t>
      </w:r>
    </w:p>
    <w:p w:rsidR="006569BC" w:rsidRDefault="009B67F3" w:rsidP="009B67F3">
      <w:r w:rsidRPr="00B8153A">
        <w:t>Restaurant and Miscellaneous Goods and Services</w:t>
      </w:r>
    </w:p>
    <w:p w:rsidR="009B67F3" w:rsidRDefault="009B67F3" w:rsidP="009B67F3"/>
    <w:p w:rsidR="009B67F3" w:rsidRPr="009B67F3" w:rsidRDefault="009B67F3" w:rsidP="009B67F3">
      <w:pPr>
        <w:rPr>
          <w:i/>
        </w:rPr>
      </w:pPr>
      <w:r>
        <w:rPr>
          <w:i/>
        </w:rPr>
        <w:t xml:space="preserve">Sources of Data and </w:t>
      </w:r>
      <w:proofErr w:type="spellStart"/>
      <w:r>
        <w:rPr>
          <w:i/>
        </w:rPr>
        <w:t>Methdology</w:t>
      </w:r>
      <w:proofErr w:type="spellEnd"/>
    </w:p>
    <w:p w:rsidR="009B67F3" w:rsidRDefault="009B67F3" w:rsidP="009B67F3">
      <w:pPr>
        <w:spacing w:after="0" w:line="240" w:lineRule="auto"/>
        <w:jc w:val="both"/>
        <w:rPr>
          <w:rFonts w:eastAsia="Times New Roman"/>
          <w:color w:val="000000"/>
        </w:rPr>
      </w:pPr>
      <w:r w:rsidRPr="00B8153A">
        <w:rPr>
          <w:rFonts w:eastAsia="Times New Roman"/>
          <w:color w:val="000000"/>
        </w:rPr>
        <w:t xml:space="preserve">The </w:t>
      </w:r>
      <w:r>
        <w:rPr>
          <w:rFonts w:eastAsia="Times New Roman"/>
          <w:b/>
          <w:color w:val="000000"/>
        </w:rPr>
        <w:t>Consumer Price Index</w:t>
      </w:r>
      <w:r w:rsidRPr="00B8153A">
        <w:rPr>
          <w:rFonts w:eastAsia="Times New Roman"/>
          <w:color w:val="000000"/>
        </w:rPr>
        <w:t xml:space="preserve"> is generated by the Philippine Statistics Authority (PSA</w:t>
      </w:r>
      <w:r>
        <w:rPr>
          <w:rFonts w:eastAsia="Times New Roman"/>
          <w:color w:val="000000"/>
        </w:rPr>
        <w:t>)</w:t>
      </w:r>
      <w:r w:rsidRPr="00B8153A">
        <w:rPr>
          <w:rFonts w:eastAsia="Times New Roman"/>
          <w:color w:val="000000"/>
        </w:rPr>
        <w:t xml:space="preserve"> from survey data collected </w:t>
      </w:r>
      <w:r>
        <w:rPr>
          <w:rFonts w:eastAsia="Times New Roman"/>
          <w:color w:val="000000"/>
        </w:rPr>
        <w:t xml:space="preserve">weekly and twice a month </w:t>
      </w:r>
      <w:r w:rsidRPr="00B8153A">
        <w:rPr>
          <w:rFonts w:eastAsia="Times New Roman"/>
          <w:color w:val="000000"/>
        </w:rPr>
        <w:t xml:space="preserve">through the Survey of Retail Prices of Commodities and Services. </w:t>
      </w:r>
      <w:r w:rsidRPr="00B8153A">
        <w:t>Prices are collected through personal interviews from selected stalls in public markets, sari-sari (variety) stores, supermarkets and service shops all over the country. The CPI is computed</w:t>
      </w:r>
      <w:r>
        <w:t xml:space="preserve"> as the weighted arithmetic mean of price relatives (basket of goods/services). This is a variant of the </w:t>
      </w:r>
      <w:proofErr w:type="spellStart"/>
      <w:r w:rsidRPr="009B297E">
        <w:rPr>
          <w:i/>
        </w:rPr>
        <w:t>Laspeyres</w:t>
      </w:r>
      <w:proofErr w:type="spellEnd"/>
      <w:r>
        <w:rPr>
          <w:i/>
        </w:rPr>
        <w:t>’</w:t>
      </w:r>
      <w:r w:rsidRPr="009B297E">
        <w:rPr>
          <w:i/>
        </w:rPr>
        <w:t xml:space="preserve"> </w:t>
      </w:r>
      <w:r>
        <w:t xml:space="preserve">formula with </w:t>
      </w:r>
      <w:r w:rsidRPr="00B8153A">
        <w:t>fixed base year period weights</w:t>
      </w:r>
      <w:r w:rsidRPr="00B8153A">
        <w:rPr>
          <w:rFonts w:eastAsia="Times New Roman"/>
          <w:color w:val="000000"/>
        </w:rPr>
        <w:t xml:space="preserve">. </w:t>
      </w:r>
    </w:p>
    <w:p w:rsidR="009B67F3" w:rsidRDefault="009B67F3" w:rsidP="009B67F3">
      <w:pPr>
        <w:spacing w:after="0" w:line="240" w:lineRule="auto"/>
        <w:jc w:val="both"/>
        <w:rPr>
          <w:rFonts w:eastAsia="Times New Roman"/>
          <w:color w:val="000000"/>
        </w:rPr>
      </w:pPr>
    </w:p>
    <w:p w:rsidR="009B67F3" w:rsidRPr="00B8153A" w:rsidRDefault="009B67F3" w:rsidP="009B67F3">
      <w:pPr>
        <w:spacing w:after="0" w:line="240" w:lineRule="auto"/>
        <w:jc w:val="center"/>
        <w:rPr>
          <w:rFonts w:eastAsia="Times New Roman"/>
          <w:color w:val="000000"/>
        </w:rPr>
      </w:pPr>
      <w:r>
        <w:object w:dxaOrig="4785" w:dyaOrig="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2pt;height:135pt" o:ole="">
            <v:imagedata r:id="rId6" o:title=""/>
          </v:shape>
          <o:OLEObject Type="Embed" ProgID="PBrush" ShapeID="_x0000_i1025" DrawAspect="Content" ObjectID="_1503385467" r:id="rId7"/>
        </w:object>
      </w:r>
    </w:p>
    <w:p w:rsidR="009B67F3" w:rsidRDefault="009B67F3" w:rsidP="009B67F3">
      <w:pPr>
        <w:spacing w:after="0" w:line="240" w:lineRule="auto"/>
        <w:jc w:val="both"/>
        <w:rPr>
          <w:rFonts w:eastAsia="Times New Roman"/>
          <w:color w:val="000000"/>
          <w:sz w:val="16"/>
          <w:szCs w:val="16"/>
        </w:rPr>
      </w:pPr>
    </w:p>
    <w:p w:rsidR="009B67F3" w:rsidRPr="00025920" w:rsidRDefault="009B67F3" w:rsidP="009B67F3">
      <w:pPr>
        <w:spacing w:after="0" w:line="240" w:lineRule="auto"/>
        <w:jc w:val="both"/>
        <w:rPr>
          <w:rFonts w:eastAsia="Times New Roman"/>
          <w:color w:val="000000"/>
          <w:sz w:val="16"/>
          <w:szCs w:val="16"/>
        </w:rPr>
      </w:pPr>
    </w:p>
    <w:p w:rsidR="009B67F3" w:rsidRPr="00B8153A" w:rsidRDefault="009B67F3" w:rsidP="009B67F3">
      <w:pPr>
        <w:spacing w:after="0" w:line="240" w:lineRule="auto"/>
        <w:jc w:val="both"/>
        <w:rPr>
          <w:rFonts w:eastAsia="Times New Roman"/>
          <w:color w:val="000000"/>
        </w:rPr>
      </w:pPr>
      <w:r w:rsidRPr="00B8153A">
        <w:rPr>
          <w:rFonts w:eastAsia="Times New Roman"/>
          <w:color w:val="000000"/>
        </w:rPr>
        <w:t>The base year refers to the benchmark year against which prevailing prices in the reference period (</w:t>
      </w:r>
      <w:r>
        <w:rPr>
          <w:rFonts w:eastAsia="Times New Roman"/>
          <w:color w:val="000000"/>
        </w:rPr>
        <w:t>e.g., current year</w:t>
      </w:r>
      <w:r w:rsidRPr="00B8153A">
        <w:rPr>
          <w:rFonts w:eastAsia="Times New Roman"/>
          <w:color w:val="000000"/>
        </w:rPr>
        <w:t xml:space="preserve">) are compared. The CPI is computed using a basket of goods and commodities that are most commonly purchased by households. The price of a basket of commodities is set to 100 in the base year. The items included in the CPI basket are assigned weights based on the proportion of spending on specific consumer goods/services to total </w:t>
      </w:r>
      <w:r>
        <w:rPr>
          <w:rFonts w:eastAsia="Times New Roman"/>
          <w:color w:val="000000"/>
        </w:rPr>
        <w:t>consumption/</w:t>
      </w:r>
      <w:r w:rsidRPr="00B8153A">
        <w:rPr>
          <w:rFonts w:eastAsia="Times New Roman"/>
          <w:color w:val="000000"/>
        </w:rPr>
        <w:t xml:space="preserve">expenditure. </w:t>
      </w:r>
    </w:p>
    <w:p w:rsidR="009B67F3" w:rsidRPr="00B861CF" w:rsidRDefault="009B67F3" w:rsidP="009B67F3">
      <w:pPr>
        <w:autoSpaceDE w:val="0"/>
        <w:autoSpaceDN w:val="0"/>
        <w:adjustRightInd w:val="0"/>
        <w:spacing w:after="0" w:line="240" w:lineRule="auto"/>
        <w:jc w:val="both"/>
        <w:rPr>
          <w:rFonts w:cs="TT142Fo00"/>
          <w:sz w:val="16"/>
          <w:szCs w:val="16"/>
          <w:lang w:val="en-PH" w:eastAsia="en-PH"/>
        </w:rPr>
      </w:pPr>
    </w:p>
    <w:p w:rsidR="009B67F3" w:rsidRPr="00B861CF" w:rsidRDefault="009B67F3" w:rsidP="009B67F3">
      <w:pPr>
        <w:autoSpaceDE w:val="0"/>
        <w:autoSpaceDN w:val="0"/>
        <w:adjustRightInd w:val="0"/>
        <w:spacing w:after="0" w:line="240" w:lineRule="auto"/>
        <w:jc w:val="both"/>
        <w:rPr>
          <w:rFonts w:cs="TT142Fo00"/>
          <w:lang w:val="en-PH" w:eastAsia="en-PH"/>
        </w:rPr>
      </w:pPr>
      <w:r w:rsidRPr="00B861CF">
        <w:rPr>
          <w:rFonts w:cs="TT142Fo00"/>
          <w:lang w:val="en-PH" w:eastAsia="en-PH"/>
        </w:rPr>
        <w:t xml:space="preserve">The present series uses 2006 as the base year. </w:t>
      </w:r>
      <w:r>
        <w:rPr>
          <w:rFonts w:cs="TT142Fo00"/>
          <w:lang w:val="en-PH" w:eastAsia="en-PH"/>
        </w:rPr>
        <w:t>The year 2006</w:t>
      </w:r>
      <w:r w:rsidRPr="00B8153A">
        <w:rPr>
          <w:rFonts w:cs="TT142Fo00"/>
          <w:lang w:val="en-PH" w:eastAsia="en-PH"/>
        </w:rPr>
        <w:t xml:space="preserve"> was chosen as the base year because it was the year when the last Family Income and Expenditure Survey (FIES) </w:t>
      </w:r>
      <w:proofErr w:type="gramStart"/>
      <w:r w:rsidRPr="00B8153A">
        <w:rPr>
          <w:rFonts w:cs="TT142Fo00"/>
          <w:lang w:val="en-PH" w:eastAsia="en-PH"/>
        </w:rPr>
        <w:t>was</w:t>
      </w:r>
      <w:proofErr w:type="gramEnd"/>
      <w:r>
        <w:rPr>
          <w:rFonts w:cs="TT142Fo00"/>
          <w:lang w:val="en-PH" w:eastAsia="en-PH"/>
        </w:rPr>
        <w:t xml:space="preserve"> </w:t>
      </w:r>
      <w:r w:rsidRPr="00B8153A">
        <w:rPr>
          <w:rFonts w:cs="TT142Fo00"/>
          <w:lang w:val="en-PH" w:eastAsia="en-PH"/>
        </w:rPr>
        <w:t>conducted.</w:t>
      </w:r>
      <w:r w:rsidRPr="00B861CF">
        <w:rPr>
          <w:rFonts w:cs="TT142Fo00"/>
          <w:lang w:val="en-PH" w:eastAsia="en-PH"/>
        </w:rPr>
        <w:t xml:space="preserve"> </w:t>
      </w:r>
      <w:r w:rsidRPr="00B8153A">
        <w:t>There is no fixed interval for rebasing the index. Rebasing depends on the availability of the FIES data</w:t>
      </w:r>
      <w:r w:rsidRPr="00B8153A">
        <w:rPr>
          <w:rFonts w:cs="TT142Fo00"/>
          <w:lang w:val="en-PH" w:eastAsia="en-PH"/>
        </w:rPr>
        <w:t xml:space="preserve"> which is also the basis for the CPI weights. The Technical Committee on Price Statistics (TCPS), consisting of representatives from various government agencies, reviews the methodology used in rebasing the CPI.</w:t>
      </w:r>
    </w:p>
    <w:p w:rsidR="009B67F3" w:rsidRPr="00B861CF" w:rsidRDefault="009B67F3" w:rsidP="009B67F3">
      <w:pPr>
        <w:autoSpaceDE w:val="0"/>
        <w:autoSpaceDN w:val="0"/>
        <w:adjustRightInd w:val="0"/>
        <w:spacing w:after="0" w:line="240" w:lineRule="auto"/>
        <w:rPr>
          <w:rFonts w:cs="TT142Fo00"/>
          <w:sz w:val="16"/>
          <w:szCs w:val="16"/>
          <w:lang w:val="en-PH" w:eastAsia="en-PH"/>
        </w:rPr>
      </w:pPr>
    </w:p>
    <w:p w:rsidR="009B67F3" w:rsidRDefault="009B67F3" w:rsidP="009B67F3">
      <w:pPr>
        <w:autoSpaceDE w:val="0"/>
        <w:autoSpaceDN w:val="0"/>
        <w:adjustRightInd w:val="0"/>
        <w:spacing w:after="0" w:line="240" w:lineRule="auto"/>
        <w:jc w:val="both"/>
        <w:rPr>
          <w:rFonts w:cs="TT142Fo00"/>
          <w:lang w:val="en-PH" w:eastAsia="en-PH"/>
        </w:rPr>
      </w:pPr>
      <w:r>
        <w:rPr>
          <w:rFonts w:cs="TT142Fo00"/>
          <w:lang w:val="en-PH" w:eastAsia="en-PH"/>
        </w:rPr>
        <w:t xml:space="preserve">The </w:t>
      </w:r>
      <w:r w:rsidRPr="009B297E">
        <w:rPr>
          <w:rFonts w:cs="TT142Fo00"/>
          <w:b/>
          <w:lang w:val="en-PH" w:eastAsia="en-PH"/>
        </w:rPr>
        <w:t>inflation rate</w:t>
      </w:r>
      <w:r>
        <w:rPr>
          <w:rFonts w:cs="TT142Fo00"/>
          <w:lang w:val="en-PH" w:eastAsia="en-PH"/>
        </w:rPr>
        <w:t xml:space="preserve"> is defined as the annual rate of change or the year-on-year change in the CPI. </w:t>
      </w:r>
      <w:r w:rsidRPr="00F54088">
        <w:rPr>
          <w:rFonts w:cs="TT142Fo00"/>
          <w:lang w:val="en-PH" w:eastAsia="en-PH"/>
        </w:rPr>
        <w:t>It is the rate of change in the average price level between two periods. The</w:t>
      </w:r>
      <w:r>
        <w:rPr>
          <w:rFonts w:cs="TT142Fo00"/>
          <w:lang w:val="en-PH" w:eastAsia="en-PH"/>
        </w:rPr>
        <w:t xml:space="preserve"> </w:t>
      </w:r>
      <w:r w:rsidRPr="00F54088">
        <w:rPr>
          <w:rFonts w:cs="TT142Fo00"/>
          <w:lang w:val="en-PH" w:eastAsia="en-PH"/>
        </w:rPr>
        <w:t>formula used is:</w:t>
      </w:r>
    </w:p>
    <w:p w:rsidR="009B67F3" w:rsidRDefault="009B67F3" w:rsidP="009B67F3">
      <w:pPr>
        <w:autoSpaceDE w:val="0"/>
        <w:autoSpaceDN w:val="0"/>
        <w:adjustRightInd w:val="0"/>
        <w:spacing w:after="0" w:line="240" w:lineRule="auto"/>
        <w:jc w:val="both"/>
        <w:rPr>
          <w:rFonts w:cs="TT142Fo00"/>
          <w:lang w:val="en-PH" w:eastAsia="en-PH"/>
        </w:rPr>
      </w:pPr>
    </w:p>
    <w:p w:rsidR="009B67F3" w:rsidRDefault="009B67F3" w:rsidP="009B67F3">
      <w:pPr>
        <w:autoSpaceDE w:val="0"/>
        <w:autoSpaceDN w:val="0"/>
        <w:adjustRightInd w:val="0"/>
        <w:spacing w:after="0" w:line="240" w:lineRule="auto"/>
        <w:jc w:val="center"/>
        <w:rPr>
          <w:rFonts w:cs="TT142Fo00"/>
          <w:lang w:val="en-PH" w:eastAsia="en-PH"/>
        </w:rPr>
      </w:pPr>
      <w:r>
        <w:object w:dxaOrig="4710" w:dyaOrig="2085">
          <v:shape id="_x0000_i1026" type="#_x0000_t75" style="width:192pt;height:84.6pt" o:ole="">
            <v:imagedata r:id="rId8" o:title=""/>
          </v:shape>
          <o:OLEObject Type="Embed" ProgID="PBrush" ShapeID="_x0000_i1026" DrawAspect="Content" ObjectID="_1503385468" r:id="rId9"/>
        </w:object>
      </w:r>
    </w:p>
    <w:p w:rsidR="009B67F3" w:rsidRDefault="009B67F3" w:rsidP="009B67F3">
      <w:pPr>
        <w:autoSpaceDE w:val="0"/>
        <w:autoSpaceDN w:val="0"/>
        <w:adjustRightInd w:val="0"/>
        <w:spacing w:after="0" w:line="240" w:lineRule="auto"/>
        <w:jc w:val="both"/>
        <w:rPr>
          <w:rFonts w:cs="TT142Fo00"/>
          <w:lang w:val="en-PH" w:eastAsia="en-PH"/>
        </w:rPr>
      </w:pPr>
    </w:p>
    <w:p w:rsidR="009B67F3" w:rsidRDefault="009B67F3" w:rsidP="009B67F3">
      <w:pPr>
        <w:autoSpaceDE w:val="0"/>
        <w:autoSpaceDN w:val="0"/>
        <w:adjustRightInd w:val="0"/>
        <w:spacing w:after="0" w:line="240" w:lineRule="auto"/>
        <w:jc w:val="both"/>
        <w:rPr>
          <w:rFonts w:cs="TT142Fo00"/>
          <w:lang w:val="en-PH" w:eastAsia="en-PH"/>
        </w:rPr>
      </w:pPr>
      <w:r w:rsidRPr="00B8153A">
        <w:rPr>
          <w:rFonts w:cs="TT142Fo00"/>
          <w:lang w:val="en-PH" w:eastAsia="en-PH"/>
        </w:rPr>
        <w:t xml:space="preserve">The </w:t>
      </w:r>
      <w:r w:rsidRPr="008526A0">
        <w:rPr>
          <w:rFonts w:cs="TT142Fo00"/>
          <w:b/>
          <w:lang w:val="en-PH" w:eastAsia="en-PH"/>
        </w:rPr>
        <w:t>purchasing power of the peso</w:t>
      </w:r>
      <w:r w:rsidRPr="00B8153A">
        <w:rPr>
          <w:rFonts w:cs="TT142Fo00"/>
          <w:lang w:val="en-PH" w:eastAsia="en-PH"/>
        </w:rPr>
        <w:t xml:space="preserve"> shows how much the peso in the base period is worth in the current period. It is computed as the reciprocal of the CPI for the period under review multiplied by 100.</w:t>
      </w:r>
      <w:r>
        <w:rPr>
          <w:rFonts w:cs="TT142Fo00"/>
          <w:lang w:val="en-PH" w:eastAsia="en-PH"/>
        </w:rPr>
        <w:t xml:space="preserve"> </w:t>
      </w:r>
    </w:p>
    <w:p w:rsidR="009B67F3" w:rsidRDefault="009B67F3" w:rsidP="009B67F3">
      <w:r>
        <w:object w:dxaOrig="2280" w:dyaOrig="1215">
          <v:shape id="_x0000_i1027" type="#_x0000_t75" style="width:95.4pt;height:50.4pt" o:ole="">
            <v:imagedata r:id="rId10" o:title=""/>
          </v:shape>
          <o:OLEObject Type="Embed" ProgID="PBrush" ShapeID="_x0000_i1027" DrawAspect="Content" ObjectID="_1503385469" r:id="rId11"/>
        </w:object>
      </w:r>
    </w:p>
    <w:sectPr w:rsidR="009B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T142F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3910"/>
    <w:multiLevelType w:val="hybridMultilevel"/>
    <w:tmpl w:val="4C9C6550"/>
    <w:lvl w:ilvl="0" w:tplc="34090015">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67E50F52"/>
    <w:multiLevelType w:val="hybridMultilevel"/>
    <w:tmpl w:val="23CCA0EA"/>
    <w:lvl w:ilvl="0" w:tplc="34090015">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7F3"/>
    <w:rsid w:val="006569BC"/>
    <w:rsid w:val="009B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7F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7F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2015-09-10T02:15:00Z</dcterms:created>
  <dcterms:modified xsi:type="dcterms:W3CDTF">2015-09-10T02:18:00Z</dcterms:modified>
</cp:coreProperties>
</file>