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057" w:rsidRPr="00192057" w:rsidRDefault="00192057" w:rsidP="00192057">
      <w:pPr>
        <w:tabs>
          <w:tab w:val="left" w:pos="2700"/>
        </w:tabs>
        <w:spacing w:after="0" w:line="240" w:lineRule="auto"/>
        <w:ind w:right="387"/>
        <w:jc w:val="center"/>
        <w:rPr>
          <w:b/>
        </w:rPr>
      </w:pPr>
      <w:r w:rsidRPr="00192057">
        <w:rPr>
          <w:b/>
        </w:rPr>
        <w:t>Depository Corporation Su</w:t>
      </w:r>
      <w:r>
        <w:rPr>
          <w:b/>
        </w:rPr>
        <w:t>r</w:t>
      </w:r>
      <w:r w:rsidRPr="00192057">
        <w:rPr>
          <w:b/>
        </w:rPr>
        <w:t>vey</w:t>
      </w:r>
    </w:p>
    <w:p w:rsidR="00192057" w:rsidRPr="00192057" w:rsidRDefault="00192057" w:rsidP="00192057">
      <w:pPr>
        <w:tabs>
          <w:tab w:val="left" w:pos="2700"/>
        </w:tabs>
        <w:spacing w:after="0" w:line="240" w:lineRule="auto"/>
        <w:ind w:right="387"/>
        <w:jc w:val="both"/>
        <w:rPr>
          <w:i/>
        </w:rPr>
      </w:pPr>
      <w:r>
        <w:rPr>
          <w:i/>
        </w:rPr>
        <w:t>Scope and Classification</w:t>
      </w:r>
    </w:p>
    <w:p w:rsidR="00192057" w:rsidRPr="00757AF4" w:rsidRDefault="00192057" w:rsidP="00192057">
      <w:pPr>
        <w:spacing w:after="0" w:line="240" w:lineRule="auto"/>
        <w:ind w:right="387"/>
        <w:jc w:val="both"/>
      </w:pPr>
      <w:r w:rsidRPr="00757AF4">
        <w:t>Data scope:</w:t>
      </w:r>
    </w:p>
    <w:p w:rsidR="00192057" w:rsidRPr="00757AF4" w:rsidRDefault="00192057" w:rsidP="00192057">
      <w:pPr>
        <w:spacing w:after="0" w:line="240" w:lineRule="auto"/>
        <w:ind w:right="387"/>
        <w:jc w:val="both"/>
      </w:pPr>
    </w:p>
    <w:p w:rsidR="00192057" w:rsidRPr="00757AF4" w:rsidRDefault="00192057" w:rsidP="00192057">
      <w:pPr>
        <w:pStyle w:val="NormalWeb"/>
        <w:spacing w:before="0" w:beforeAutospacing="0" w:after="120" w:afterAutospacing="0"/>
        <w:ind w:right="387"/>
        <w:jc w:val="both"/>
        <w:rPr>
          <w:rFonts w:ascii="Calibri" w:hAnsi="Calibri" w:cs="Arial"/>
          <w:bCs/>
          <w:i/>
          <w:iCs/>
          <w:sz w:val="22"/>
          <w:szCs w:val="22"/>
        </w:rPr>
      </w:pPr>
      <w:proofErr w:type="spellStart"/>
      <w:r w:rsidRPr="00757AF4">
        <w:rPr>
          <w:rFonts w:ascii="Calibri" w:hAnsi="Calibri" w:cs="Arial"/>
          <w:sz w:val="22"/>
          <w:szCs w:val="22"/>
        </w:rPr>
        <w:t>Bangko</w:t>
      </w:r>
      <w:proofErr w:type="spellEnd"/>
      <w:r w:rsidRPr="00757AF4">
        <w:rPr>
          <w:rFonts w:ascii="Calibri" w:hAnsi="Calibri" w:cs="Arial"/>
          <w:sz w:val="22"/>
          <w:szCs w:val="22"/>
        </w:rPr>
        <w:t xml:space="preserve"> </w:t>
      </w:r>
      <w:proofErr w:type="spellStart"/>
      <w:r w:rsidRPr="00757AF4">
        <w:rPr>
          <w:rFonts w:ascii="Calibri" w:hAnsi="Calibri" w:cs="Arial"/>
          <w:sz w:val="22"/>
          <w:szCs w:val="22"/>
        </w:rPr>
        <w:t>Sentral</w:t>
      </w:r>
      <w:proofErr w:type="spellEnd"/>
      <w:r w:rsidRPr="00757AF4">
        <w:rPr>
          <w:rFonts w:ascii="Calibri" w:hAnsi="Calibri" w:cs="Arial"/>
          <w:sz w:val="22"/>
          <w:szCs w:val="22"/>
        </w:rPr>
        <w:t xml:space="preserve"> ng </w:t>
      </w:r>
      <w:proofErr w:type="spellStart"/>
      <w:r w:rsidRPr="00757AF4">
        <w:rPr>
          <w:rFonts w:ascii="Calibri" w:hAnsi="Calibri" w:cs="Arial"/>
          <w:sz w:val="22"/>
          <w:szCs w:val="22"/>
        </w:rPr>
        <w:t>Pilipinas</w:t>
      </w:r>
      <w:proofErr w:type="spellEnd"/>
      <w:r w:rsidRPr="00757AF4">
        <w:rPr>
          <w:rFonts w:ascii="Calibri" w:hAnsi="Calibri" w:cs="Arial"/>
          <w:sz w:val="22"/>
          <w:szCs w:val="22"/>
        </w:rPr>
        <w:t xml:space="preserve"> (</w:t>
      </w:r>
      <w:proofErr w:type="gramStart"/>
      <w:r w:rsidRPr="00757AF4">
        <w:rPr>
          <w:rFonts w:ascii="Calibri" w:hAnsi="Calibri" w:cs="Arial"/>
          <w:sz w:val="22"/>
          <w:szCs w:val="22"/>
        </w:rPr>
        <w:t>BSP),</w:t>
      </w:r>
      <w:proofErr w:type="gramEnd"/>
      <w:r w:rsidRPr="00757AF4">
        <w:rPr>
          <w:rFonts w:ascii="Calibri" w:hAnsi="Calibri" w:cs="Arial"/>
          <w:sz w:val="22"/>
          <w:szCs w:val="22"/>
        </w:rPr>
        <w:t xml:space="preserve"> and the National Government (NG) only in so far as the latter's monetary functions arising from its holdings of transactions </w:t>
      </w:r>
      <w:bookmarkStart w:id="0" w:name="_GoBack"/>
      <w:bookmarkEnd w:id="0"/>
      <w:r w:rsidRPr="00757AF4">
        <w:rPr>
          <w:rFonts w:ascii="Calibri" w:hAnsi="Calibri" w:cs="Arial"/>
          <w:sz w:val="22"/>
          <w:szCs w:val="22"/>
        </w:rPr>
        <w:t>with the International Monetary Fund (IMF) are concerned.</w:t>
      </w:r>
    </w:p>
    <w:p w:rsidR="00192057" w:rsidRPr="00757AF4" w:rsidRDefault="00192057" w:rsidP="00192057">
      <w:pPr>
        <w:pStyle w:val="NormalWeb"/>
        <w:spacing w:before="0" w:beforeAutospacing="0" w:after="0" w:afterAutospacing="0"/>
        <w:ind w:right="387"/>
        <w:jc w:val="both"/>
        <w:rPr>
          <w:rFonts w:ascii="Calibri" w:hAnsi="Calibri" w:cs="Arial"/>
          <w:sz w:val="22"/>
          <w:szCs w:val="22"/>
        </w:rPr>
      </w:pPr>
      <w:proofErr w:type="gramStart"/>
      <w:r w:rsidRPr="00757AF4">
        <w:rPr>
          <w:rFonts w:ascii="Calibri" w:hAnsi="Calibri" w:cs="Arial"/>
          <w:bCs/>
          <w:sz w:val="22"/>
          <w:szCs w:val="22"/>
          <w:u w:val="single"/>
        </w:rPr>
        <w:t>Other Depository Corporations</w:t>
      </w:r>
      <w:r w:rsidRPr="00757AF4">
        <w:rPr>
          <w:rFonts w:ascii="Calibri" w:hAnsi="Calibri" w:cs="Arial"/>
          <w:sz w:val="22"/>
          <w:szCs w:val="22"/>
          <w:u w:val="single"/>
        </w:rPr>
        <w:t xml:space="preserve"> (ODCs)</w:t>
      </w:r>
      <w:r w:rsidRPr="00757AF4">
        <w:rPr>
          <w:rFonts w:ascii="Calibri" w:hAnsi="Calibri" w:cs="Arial"/>
          <w:sz w:val="22"/>
          <w:szCs w:val="22"/>
        </w:rPr>
        <w:t xml:space="preserve"> or deposit-generating institutions other than the BSP, such as universal and commercial banks, thrift banks, rural banks, non-stock savings and loan associations and non-banks with quasi-banking functions.</w:t>
      </w:r>
      <w:proofErr w:type="gramEnd"/>
      <w:r w:rsidRPr="00757AF4">
        <w:rPr>
          <w:rFonts w:ascii="Calibri" w:hAnsi="Calibri" w:cs="Arial"/>
          <w:sz w:val="22"/>
          <w:szCs w:val="22"/>
        </w:rPr>
        <w:t xml:space="preserve"> The ODC is an expanded coverage of the old series of the Deposit Money Banks, which covered only </w:t>
      </w:r>
      <w:proofErr w:type="gramStart"/>
      <w:r w:rsidRPr="00757AF4">
        <w:rPr>
          <w:rFonts w:ascii="Calibri" w:hAnsi="Calibri" w:cs="Arial"/>
          <w:sz w:val="22"/>
          <w:szCs w:val="22"/>
        </w:rPr>
        <w:t>universal</w:t>
      </w:r>
      <w:proofErr w:type="gramEnd"/>
      <w:r w:rsidRPr="00757AF4">
        <w:rPr>
          <w:rFonts w:ascii="Calibri" w:hAnsi="Calibri" w:cs="Arial"/>
          <w:sz w:val="22"/>
          <w:szCs w:val="22"/>
        </w:rPr>
        <w:t xml:space="preserve"> and commercial banks and rural banks accepting demand deposits.</w:t>
      </w:r>
    </w:p>
    <w:p w:rsidR="00192057" w:rsidRPr="00757AF4" w:rsidRDefault="00192057" w:rsidP="00192057">
      <w:pPr>
        <w:spacing w:before="100" w:beforeAutospacing="1" w:after="100" w:afterAutospacing="1" w:line="240" w:lineRule="auto"/>
        <w:ind w:right="387"/>
        <w:jc w:val="both"/>
        <w:rPr>
          <w:rFonts w:eastAsia="Times New Roman"/>
        </w:rPr>
      </w:pPr>
      <w:r w:rsidRPr="00757AF4">
        <w:rPr>
          <w:rFonts w:eastAsia="Times New Roman"/>
        </w:rPr>
        <w:t>Classification:</w:t>
      </w:r>
    </w:p>
    <w:p w:rsidR="00192057" w:rsidRPr="00757AF4" w:rsidRDefault="00192057" w:rsidP="00192057">
      <w:pPr>
        <w:spacing w:before="100" w:beforeAutospacing="1" w:after="100" w:afterAutospacing="1" w:line="240" w:lineRule="auto"/>
        <w:ind w:right="387"/>
        <w:jc w:val="both"/>
        <w:rPr>
          <w:rFonts w:eastAsia="Times New Roman"/>
        </w:rPr>
      </w:pPr>
      <w:r w:rsidRPr="00757AF4">
        <w:rPr>
          <w:rFonts w:eastAsia="Times New Roman"/>
        </w:rPr>
        <w:t>Accounts are classified into foreign and domestic and are broken down into four (4) major categories, namely, net foreign assets (NFA),  domestic claims (DC)</w:t>
      </w:r>
      <w:r>
        <w:rPr>
          <w:rFonts w:eastAsia="Times New Roman"/>
        </w:rPr>
        <w:t>,</w:t>
      </w:r>
      <w:r w:rsidRPr="00757AF4">
        <w:rPr>
          <w:rFonts w:eastAsia="Times New Roman"/>
        </w:rPr>
        <w:t xml:space="preserve"> broad</w:t>
      </w:r>
      <w:r>
        <w:rPr>
          <w:rFonts w:eastAsia="Times New Roman"/>
        </w:rPr>
        <w:t xml:space="preserve"> </w:t>
      </w:r>
      <w:r w:rsidRPr="00757AF4">
        <w:rPr>
          <w:rFonts w:eastAsia="Times New Roman"/>
        </w:rPr>
        <w:t>money liabilities (BML) and liabilities excluded from broad money (LEBM). NFA accounts are distinguished from domestic accounts based on the residency criteria following the 6th Edition of the IMF Balance of Payments</w:t>
      </w:r>
      <w:r>
        <w:rPr>
          <w:rFonts w:eastAsia="Times New Roman"/>
        </w:rPr>
        <w:t xml:space="preserve"> and International Investment Position</w:t>
      </w:r>
      <w:r w:rsidRPr="00757AF4">
        <w:rPr>
          <w:rFonts w:eastAsia="Times New Roman"/>
        </w:rPr>
        <w:t xml:space="preserve"> Manual. NFA represents the difference between foreign assets and foreign liabilities, including the difference between accrued interest receivables and payables on transactions of the BSP with nonresidents.</w:t>
      </w:r>
    </w:p>
    <w:p w:rsidR="0001384D" w:rsidRDefault="00192057" w:rsidP="00192057">
      <w:pPr>
        <w:rPr>
          <w:rFonts w:eastAsia="Times New Roman"/>
        </w:rPr>
      </w:pPr>
      <w:r w:rsidRPr="00757AF4">
        <w:rPr>
          <w:rFonts w:eastAsia="Times New Roman"/>
        </w:rPr>
        <w:t>Net claims on residents consist of domestic securities and loans and advances, net of national government deposits. These claims are subdivided into net claims on Central government and claims on other sectors. Claims on the other sectors are further broken down into  (</w:t>
      </w:r>
      <w:proofErr w:type="spellStart"/>
      <w:r w:rsidRPr="00757AF4">
        <w:rPr>
          <w:rFonts w:eastAsia="Times New Roman"/>
        </w:rPr>
        <w:t>i</w:t>
      </w:r>
      <w:proofErr w:type="spellEnd"/>
      <w:r w:rsidRPr="00757AF4">
        <w:rPr>
          <w:rFonts w:eastAsia="Times New Roman"/>
        </w:rPr>
        <w:t>) claims on other financial corporations; (ii) claims on state and local government; (iii) claims on public nonfinancial corporations; and (iv) claims on private sector (private non-financial corporations and individuals or households). BML include national currency outside of depository corporations, transferable deposits, other deposits, and securities other than shares included in broad money. Transferable deposits are ODC’s demand deposit. Other deposits consist of time and savings deposits.</w:t>
      </w:r>
    </w:p>
    <w:p w:rsidR="00192057" w:rsidRDefault="00192057" w:rsidP="00192057">
      <w:pPr>
        <w:rPr>
          <w:rFonts w:eastAsia="Times New Roman"/>
        </w:rPr>
      </w:pPr>
    </w:p>
    <w:p w:rsidR="00192057" w:rsidRPr="00192057" w:rsidRDefault="00192057" w:rsidP="00192057">
      <w:pPr>
        <w:rPr>
          <w:rFonts w:eastAsia="Times New Roman"/>
          <w:i/>
        </w:rPr>
      </w:pPr>
      <w:r>
        <w:rPr>
          <w:rFonts w:eastAsia="Times New Roman"/>
          <w:i/>
        </w:rPr>
        <w:t>Sources of Data and Methodology</w:t>
      </w:r>
    </w:p>
    <w:p w:rsidR="00192057" w:rsidRDefault="00192057" w:rsidP="00192057">
      <w:r w:rsidRPr="00757AF4">
        <w:t xml:space="preserve">Data are sourced from the </w:t>
      </w:r>
      <w:r w:rsidRPr="00757AF4">
        <w:rPr>
          <w:rFonts w:cs="Arial"/>
        </w:rPr>
        <w:t>Balance sheets of the BSP, universal and commercial banks, thrift banks, rural banks, non-stock savings &amp; loan association and non-banks w/ quasi-banking functions and the report on the Philippine’s Summary Position in the IMF.</w:t>
      </w:r>
    </w:p>
    <w:sectPr w:rsidR="00192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057"/>
    <w:rsid w:val="0001384D"/>
    <w:rsid w:val="00192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05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92057"/>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05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9205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2015-09-15T03:40:00Z</dcterms:created>
  <dcterms:modified xsi:type="dcterms:W3CDTF">2015-09-15T03:42:00Z</dcterms:modified>
</cp:coreProperties>
</file>