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15" w:type="dxa"/>
        <w:tblInd w:w="93" w:type="dxa"/>
        <w:tblLook w:val="04A0" w:firstRow="1" w:lastRow="0" w:firstColumn="1" w:lastColumn="0" w:noHBand="0" w:noVBand="1"/>
      </w:tblPr>
      <w:tblGrid>
        <w:gridCol w:w="9915"/>
      </w:tblGrid>
      <w:tr w:rsidR="00A01FFA" w:rsidRPr="00A01FFA" w:rsidTr="00A01FFA">
        <w:trPr>
          <w:trHeight w:val="510"/>
        </w:trPr>
        <w:tc>
          <w:tcPr>
            <w:tcW w:w="9915" w:type="dxa"/>
            <w:tcBorders>
              <w:top w:val="nil"/>
              <w:left w:val="nil"/>
              <w:bottom w:val="nil"/>
              <w:right w:val="nil"/>
            </w:tcBorders>
            <w:shd w:val="clear" w:color="auto" w:fill="auto"/>
            <w:hideMark/>
          </w:tcPr>
          <w:p w:rsidR="00A01FFA" w:rsidRPr="00A01FFA" w:rsidRDefault="00A01FFA" w:rsidP="00A01FFA">
            <w:pPr>
              <w:spacing w:after="0" w:line="240" w:lineRule="auto"/>
              <w:jc w:val="both"/>
              <w:rPr>
                <w:rFonts w:ascii="Calibri" w:eastAsia="Times New Roman" w:hAnsi="Calibri" w:cs="Times New Roman"/>
                <w:b/>
                <w:bCs/>
                <w:i/>
                <w:iCs/>
                <w:color w:val="000000"/>
                <w:sz w:val="20"/>
                <w:szCs w:val="20"/>
              </w:rPr>
            </w:pPr>
            <w:bookmarkStart w:id="0" w:name="_GoBack"/>
          </w:p>
        </w:tc>
      </w:tr>
      <w:bookmarkEnd w:id="0"/>
      <w:tr w:rsidR="00A01FFA" w:rsidRPr="00A01FFA" w:rsidTr="00A01FFA">
        <w:trPr>
          <w:trHeight w:val="300"/>
        </w:trPr>
        <w:tc>
          <w:tcPr>
            <w:tcW w:w="9915" w:type="dxa"/>
            <w:tcBorders>
              <w:top w:val="nil"/>
              <w:left w:val="nil"/>
              <w:bottom w:val="nil"/>
              <w:right w:val="nil"/>
            </w:tcBorders>
            <w:shd w:val="clear" w:color="auto" w:fill="auto"/>
            <w:hideMark/>
          </w:tcPr>
          <w:p w:rsidR="00A01FFA" w:rsidRPr="00A01FFA" w:rsidRDefault="00A01FFA" w:rsidP="00A01FFA">
            <w:pPr>
              <w:spacing w:after="0" w:line="240" w:lineRule="auto"/>
              <w:jc w:val="center"/>
              <w:rPr>
                <w:rFonts w:ascii="Calibri" w:eastAsia="Times New Roman" w:hAnsi="Calibri" w:cs="Times New Roman"/>
                <w:b/>
                <w:color w:val="000000"/>
                <w:sz w:val="32"/>
                <w:szCs w:val="32"/>
              </w:rPr>
            </w:pPr>
            <w:r w:rsidRPr="00A01FFA">
              <w:rPr>
                <w:rFonts w:ascii="Calibri" w:eastAsia="Times New Roman" w:hAnsi="Calibri" w:cs="Times New Roman"/>
                <w:b/>
                <w:color w:val="000000"/>
                <w:sz w:val="32"/>
                <w:szCs w:val="32"/>
              </w:rPr>
              <w:t>Overseas Filipinos’ (OF) Remittances</w:t>
            </w:r>
          </w:p>
        </w:tc>
      </w:tr>
      <w:tr w:rsidR="00A01FFA" w:rsidRPr="00A01FFA" w:rsidTr="00A01FFA">
        <w:trPr>
          <w:trHeight w:val="300"/>
        </w:trPr>
        <w:tc>
          <w:tcPr>
            <w:tcW w:w="9915" w:type="dxa"/>
            <w:tcBorders>
              <w:top w:val="nil"/>
              <w:left w:val="nil"/>
              <w:bottom w:val="nil"/>
              <w:right w:val="nil"/>
            </w:tcBorders>
            <w:shd w:val="clear" w:color="auto" w:fill="auto"/>
            <w:hideMark/>
          </w:tcPr>
          <w:p w:rsidR="00A01FFA" w:rsidRDefault="00A01FFA" w:rsidP="00A01FFA">
            <w:pPr>
              <w:spacing w:after="0" w:line="240" w:lineRule="auto"/>
              <w:jc w:val="both"/>
              <w:rPr>
                <w:rFonts w:ascii="Calibri" w:eastAsia="Times New Roman" w:hAnsi="Calibri" w:cs="Times New Roman"/>
                <w:bCs/>
                <w:i/>
                <w:color w:val="000000"/>
                <w:sz w:val="20"/>
                <w:szCs w:val="20"/>
              </w:rPr>
            </w:pPr>
            <w:r>
              <w:rPr>
                <w:rFonts w:ascii="Calibri" w:eastAsia="Times New Roman" w:hAnsi="Calibri" w:cs="Times New Roman"/>
                <w:bCs/>
                <w:i/>
                <w:color w:val="000000"/>
                <w:sz w:val="20"/>
                <w:szCs w:val="20"/>
              </w:rPr>
              <w:t>Scope and Classification</w:t>
            </w:r>
          </w:p>
          <w:p w:rsidR="00A01FFA" w:rsidRPr="00A01FFA" w:rsidRDefault="00A01FFA" w:rsidP="00A01FFA">
            <w:pPr>
              <w:spacing w:after="0" w:line="240" w:lineRule="auto"/>
              <w:jc w:val="both"/>
              <w:rPr>
                <w:rFonts w:ascii="Calibri" w:eastAsia="Times New Roman" w:hAnsi="Calibri" w:cs="Times New Roman"/>
                <w:bCs/>
                <w:i/>
                <w:color w:val="000000"/>
                <w:sz w:val="20"/>
                <w:szCs w:val="20"/>
              </w:rPr>
            </w:pPr>
          </w:p>
          <w:p w:rsidR="00A01FFA" w:rsidRPr="00A01FFA" w:rsidRDefault="00A01FFA" w:rsidP="00A01FFA">
            <w:pPr>
              <w:spacing w:after="0" w:line="240" w:lineRule="auto"/>
              <w:jc w:val="both"/>
              <w:rPr>
                <w:rFonts w:ascii="Calibri" w:eastAsia="Times New Roman" w:hAnsi="Calibri" w:cs="Times New Roman"/>
                <w:b/>
                <w:bCs/>
                <w:color w:val="000000"/>
                <w:sz w:val="20"/>
                <w:szCs w:val="20"/>
              </w:rPr>
            </w:pPr>
            <w:r w:rsidRPr="00A01FFA">
              <w:rPr>
                <w:rFonts w:ascii="Calibri" w:eastAsia="Times New Roman" w:hAnsi="Calibri" w:cs="Times New Roman"/>
                <w:b/>
                <w:bCs/>
                <w:color w:val="000000"/>
                <w:sz w:val="20"/>
                <w:szCs w:val="20"/>
              </w:rPr>
              <w:t>OFs’  Remittances by Country and by Type of Worker</w:t>
            </w:r>
          </w:p>
        </w:tc>
      </w:tr>
      <w:tr w:rsidR="00A01FFA" w:rsidRPr="00A01FFA" w:rsidTr="00A01FFA">
        <w:trPr>
          <w:trHeight w:val="765"/>
        </w:trPr>
        <w:tc>
          <w:tcPr>
            <w:tcW w:w="9915" w:type="dxa"/>
            <w:tcBorders>
              <w:top w:val="nil"/>
              <w:left w:val="nil"/>
              <w:bottom w:val="nil"/>
              <w:right w:val="nil"/>
            </w:tcBorders>
            <w:shd w:val="clear" w:color="auto" w:fill="auto"/>
            <w:hideMark/>
          </w:tcPr>
          <w:p w:rsidR="00A01FFA" w:rsidRPr="00A01FFA" w:rsidRDefault="00A01FFA" w:rsidP="00A01FFA">
            <w:pPr>
              <w:spacing w:after="0" w:line="240" w:lineRule="auto"/>
              <w:ind w:right="-18"/>
              <w:jc w:val="both"/>
              <w:rPr>
                <w:rFonts w:ascii="Calibri" w:eastAsia="Times New Roman" w:hAnsi="Calibri" w:cs="Times New Roman"/>
                <w:color w:val="000000"/>
                <w:sz w:val="20"/>
                <w:szCs w:val="20"/>
              </w:rPr>
            </w:pPr>
            <w:r w:rsidRPr="00A01FFA">
              <w:rPr>
                <w:rFonts w:ascii="Calibri" w:eastAsia="Times New Roman" w:hAnsi="Calibri" w:cs="Times New Roman"/>
                <w:color w:val="000000"/>
                <w:sz w:val="20"/>
                <w:szCs w:val="20"/>
              </w:rPr>
              <w:t>This refers to statistics on cash remittances coursed through commercial banks, thrift banks, and foreign exchange corporations of sea-based and land-based OF workers, classified by source country.</w:t>
            </w:r>
          </w:p>
        </w:tc>
      </w:tr>
      <w:tr w:rsidR="00A01FFA" w:rsidRPr="00A01FFA" w:rsidTr="00A01FFA">
        <w:trPr>
          <w:trHeight w:val="300"/>
        </w:trPr>
        <w:tc>
          <w:tcPr>
            <w:tcW w:w="9915" w:type="dxa"/>
            <w:tcBorders>
              <w:top w:val="nil"/>
              <w:left w:val="nil"/>
              <w:bottom w:val="nil"/>
              <w:right w:val="nil"/>
            </w:tcBorders>
            <w:shd w:val="clear" w:color="auto" w:fill="auto"/>
            <w:hideMark/>
          </w:tcPr>
          <w:p w:rsidR="00A01FFA" w:rsidRPr="00A01FFA" w:rsidRDefault="00A01FFA" w:rsidP="00A01FFA">
            <w:pPr>
              <w:spacing w:after="0" w:line="240" w:lineRule="auto"/>
              <w:jc w:val="both"/>
              <w:rPr>
                <w:rFonts w:ascii="Calibri" w:eastAsia="Times New Roman" w:hAnsi="Calibri" w:cs="Times New Roman"/>
                <w:color w:val="000000"/>
                <w:sz w:val="20"/>
                <w:szCs w:val="20"/>
              </w:rPr>
            </w:pPr>
          </w:p>
        </w:tc>
      </w:tr>
      <w:tr w:rsidR="00A01FFA" w:rsidRPr="00A01FFA" w:rsidTr="00A01FFA">
        <w:trPr>
          <w:trHeight w:val="300"/>
        </w:trPr>
        <w:tc>
          <w:tcPr>
            <w:tcW w:w="9915" w:type="dxa"/>
            <w:tcBorders>
              <w:top w:val="nil"/>
              <w:left w:val="nil"/>
              <w:bottom w:val="nil"/>
              <w:right w:val="nil"/>
            </w:tcBorders>
            <w:shd w:val="clear" w:color="auto" w:fill="auto"/>
            <w:hideMark/>
          </w:tcPr>
          <w:p w:rsidR="00A01FFA" w:rsidRPr="00A01FFA" w:rsidRDefault="00A01FFA" w:rsidP="00A01FFA">
            <w:pPr>
              <w:spacing w:after="0" w:line="240" w:lineRule="auto"/>
              <w:jc w:val="both"/>
              <w:rPr>
                <w:rFonts w:ascii="Calibri" w:eastAsia="Times New Roman" w:hAnsi="Calibri" w:cs="Times New Roman"/>
                <w:b/>
                <w:bCs/>
                <w:color w:val="000000"/>
                <w:sz w:val="20"/>
                <w:szCs w:val="20"/>
              </w:rPr>
            </w:pPr>
            <w:r w:rsidRPr="00A01FFA">
              <w:rPr>
                <w:rFonts w:ascii="Calibri" w:eastAsia="Times New Roman" w:hAnsi="Calibri" w:cs="Times New Roman"/>
                <w:b/>
                <w:bCs/>
                <w:color w:val="000000"/>
                <w:sz w:val="20"/>
                <w:szCs w:val="20"/>
              </w:rPr>
              <w:t>Personal Remittances</w:t>
            </w:r>
          </w:p>
        </w:tc>
      </w:tr>
      <w:tr w:rsidR="00A01FFA" w:rsidRPr="00A01FFA" w:rsidTr="00A01FFA">
        <w:trPr>
          <w:trHeight w:val="300"/>
        </w:trPr>
        <w:tc>
          <w:tcPr>
            <w:tcW w:w="9915" w:type="dxa"/>
            <w:tcBorders>
              <w:top w:val="nil"/>
              <w:left w:val="nil"/>
              <w:bottom w:val="nil"/>
              <w:right w:val="nil"/>
            </w:tcBorders>
            <w:shd w:val="clear" w:color="auto" w:fill="auto"/>
            <w:hideMark/>
          </w:tcPr>
          <w:p w:rsidR="00A01FFA" w:rsidRPr="00A01FFA" w:rsidRDefault="00A01FFA" w:rsidP="00A01FFA">
            <w:pPr>
              <w:spacing w:after="0" w:line="240" w:lineRule="auto"/>
              <w:jc w:val="both"/>
              <w:rPr>
                <w:rFonts w:ascii="Calibri" w:eastAsia="Times New Roman" w:hAnsi="Calibri" w:cs="Times New Roman"/>
                <w:color w:val="000000"/>
                <w:sz w:val="20"/>
                <w:szCs w:val="20"/>
              </w:rPr>
            </w:pPr>
            <w:r w:rsidRPr="00A01FFA">
              <w:rPr>
                <w:rFonts w:ascii="Calibri" w:eastAsia="Times New Roman" w:hAnsi="Calibri" w:cs="Times New Roman"/>
                <w:color w:val="000000"/>
                <w:sz w:val="20"/>
                <w:szCs w:val="20"/>
              </w:rPr>
              <w:t>Personal remittances covers</w:t>
            </w:r>
          </w:p>
        </w:tc>
      </w:tr>
      <w:tr w:rsidR="00A01FFA" w:rsidRPr="00A01FFA" w:rsidTr="00A01FFA">
        <w:trPr>
          <w:trHeight w:val="765"/>
        </w:trPr>
        <w:tc>
          <w:tcPr>
            <w:tcW w:w="9915" w:type="dxa"/>
            <w:tcBorders>
              <w:top w:val="nil"/>
              <w:left w:val="nil"/>
              <w:bottom w:val="nil"/>
              <w:right w:val="nil"/>
            </w:tcBorders>
            <w:shd w:val="clear" w:color="auto" w:fill="auto"/>
            <w:hideMark/>
          </w:tcPr>
          <w:p w:rsidR="00A01FFA" w:rsidRPr="00A01FFA" w:rsidRDefault="00A01FFA" w:rsidP="00A01FFA">
            <w:pPr>
              <w:spacing w:after="0" w:line="240" w:lineRule="auto"/>
              <w:jc w:val="both"/>
              <w:rPr>
                <w:rFonts w:ascii="Symbol" w:eastAsia="Times New Roman" w:hAnsi="Symbol" w:cs="Times New Roman"/>
                <w:color w:val="000000"/>
                <w:sz w:val="20"/>
                <w:szCs w:val="20"/>
              </w:rPr>
            </w:pPr>
            <w:r w:rsidRPr="00A01FFA">
              <w:rPr>
                <w:rFonts w:ascii="Symbol" w:eastAsia="Times New Roman" w:hAnsi="Symbol" w:cs="Times New Roman"/>
                <w:color w:val="000000"/>
                <w:sz w:val="20"/>
                <w:szCs w:val="20"/>
              </w:rPr>
              <w:t></w:t>
            </w:r>
            <w:r w:rsidRPr="00A01FFA">
              <w:rPr>
                <w:rFonts w:ascii="Times New Roman" w:eastAsia="Times New Roman" w:hAnsi="Times New Roman" w:cs="Times New Roman"/>
                <w:color w:val="000000"/>
                <w:sz w:val="14"/>
                <w:szCs w:val="14"/>
              </w:rPr>
              <w:t xml:space="preserve">         </w:t>
            </w:r>
            <w:r w:rsidRPr="00A01FFA">
              <w:rPr>
                <w:rFonts w:ascii="Calibri" w:eastAsia="Times New Roman" w:hAnsi="Calibri" w:cs="Times New Roman"/>
                <w:color w:val="000000"/>
                <w:sz w:val="20"/>
                <w:szCs w:val="20"/>
              </w:rPr>
              <w:t>net compensation of employees (i.e., gross earnings of land-based OF workers with work contracts of less than one year and of sea-based workers, less their expenditures in their host countries)</w:t>
            </w:r>
          </w:p>
        </w:tc>
      </w:tr>
      <w:tr w:rsidR="00A01FFA" w:rsidRPr="00A01FFA" w:rsidTr="00A01FFA">
        <w:trPr>
          <w:trHeight w:val="300"/>
        </w:trPr>
        <w:tc>
          <w:tcPr>
            <w:tcW w:w="9915" w:type="dxa"/>
            <w:tcBorders>
              <w:top w:val="nil"/>
              <w:left w:val="nil"/>
              <w:bottom w:val="nil"/>
              <w:right w:val="nil"/>
            </w:tcBorders>
            <w:shd w:val="clear" w:color="auto" w:fill="auto"/>
            <w:hideMark/>
          </w:tcPr>
          <w:p w:rsidR="00A01FFA" w:rsidRPr="00A01FFA" w:rsidRDefault="00A01FFA" w:rsidP="00A01FFA">
            <w:pPr>
              <w:spacing w:after="0" w:line="240" w:lineRule="auto"/>
              <w:jc w:val="both"/>
              <w:rPr>
                <w:rFonts w:ascii="Symbol" w:eastAsia="Times New Roman" w:hAnsi="Symbol" w:cs="Times New Roman"/>
                <w:color w:val="000000"/>
                <w:sz w:val="20"/>
                <w:szCs w:val="20"/>
              </w:rPr>
            </w:pPr>
            <w:r w:rsidRPr="00A01FFA">
              <w:rPr>
                <w:rFonts w:ascii="Symbol" w:eastAsia="Times New Roman" w:hAnsi="Symbol" w:cs="Times New Roman"/>
                <w:color w:val="000000"/>
                <w:sz w:val="20"/>
                <w:szCs w:val="20"/>
              </w:rPr>
              <w:t></w:t>
            </w:r>
            <w:r w:rsidRPr="00A01FFA">
              <w:rPr>
                <w:rFonts w:ascii="Times New Roman" w:eastAsia="Times New Roman" w:hAnsi="Times New Roman" w:cs="Times New Roman"/>
                <w:color w:val="000000"/>
                <w:sz w:val="14"/>
                <w:szCs w:val="14"/>
              </w:rPr>
              <w:t xml:space="preserve">         </w:t>
            </w:r>
            <w:r w:rsidRPr="00A01FFA">
              <w:rPr>
                <w:rFonts w:ascii="Calibri" w:eastAsia="Times New Roman" w:hAnsi="Calibri" w:cs="Times New Roman"/>
                <w:color w:val="000000"/>
                <w:sz w:val="20"/>
                <w:szCs w:val="20"/>
              </w:rPr>
              <w:t xml:space="preserve">personal transfers </w:t>
            </w:r>
          </w:p>
        </w:tc>
      </w:tr>
      <w:tr w:rsidR="00A01FFA" w:rsidRPr="00A01FFA" w:rsidTr="00A01FFA">
        <w:trPr>
          <w:trHeight w:val="510"/>
        </w:trPr>
        <w:tc>
          <w:tcPr>
            <w:tcW w:w="9915" w:type="dxa"/>
            <w:tcBorders>
              <w:top w:val="nil"/>
              <w:left w:val="nil"/>
              <w:bottom w:val="nil"/>
              <w:right w:val="nil"/>
            </w:tcBorders>
            <w:shd w:val="clear" w:color="auto" w:fill="auto"/>
            <w:hideMark/>
          </w:tcPr>
          <w:p w:rsidR="00A01FFA" w:rsidRPr="00A01FFA" w:rsidRDefault="00A01FFA" w:rsidP="00A01FFA">
            <w:pPr>
              <w:spacing w:after="0" w:line="240" w:lineRule="auto"/>
              <w:jc w:val="both"/>
              <w:rPr>
                <w:rFonts w:ascii="Symbol" w:eastAsia="Times New Roman" w:hAnsi="Symbol" w:cs="Times New Roman"/>
                <w:color w:val="000000"/>
                <w:sz w:val="20"/>
                <w:szCs w:val="20"/>
              </w:rPr>
            </w:pPr>
            <w:r w:rsidRPr="00A01FFA">
              <w:rPr>
                <w:rFonts w:ascii="Symbol" w:eastAsia="Times New Roman" w:hAnsi="Symbol" w:cs="Times New Roman"/>
                <w:color w:val="000000"/>
                <w:sz w:val="20"/>
                <w:szCs w:val="20"/>
              </w:rPr>
              <w:t></w:t>
            </w:r>
            <w:r w:rsidRPr="00A01FFA">
              <w:rPr>
                <w:rFonts w:ascii="Times New Roman" w:eastAsia="Times New Roman" w:hAnsi="Times New Roman" w:cs="Times New Roman"/>
                <w:color w:val="000000"/>
                <w:sz w:val="14"/>
                <w:szCs w:val="14"/>
              </w:rPr>
              <w:t xml:space="preserve">         </w:t>
            </w:r>
            <w:r w:rsidRPr="00A01FFA">
              <w:rPr>
                <w:rFonts w:ascii="Calibri" w:eastAsia="Times New Roman" w:hAnsi="Calibri" w:cs="Times New Roman"/>
                <w:color w:val="000000"/>
                <w:sz w:val="20"/>
                <w:szCs w:val="20"/>
              </w:rPr>
              <w:t xml:space="preserve">current transfers in cash or in kind by OF workers with work contracts of one year or more </w:t>
            </w:r>
          </w:p>
        </w:tc>
      </w:tr>
      <w:tr w:rsidR="00A01FFA" w:rsidRPr="00A01FFA" w:rsidTr="00A01FFA">
        <w:trPr>
          <w:trHeight w:val="510"/>
        </w:trPr>
        <w:tc>
          <w:tcPr>
            <w:tcW w:w="9915" w:type="dxa"/>
            <w:tcBorders>
              <w:top w:val="nil"/>
              <w:left w:val="nil"/>
              <w:bottom w:val="nil"/>
              <w:right w:val="nil"/>
            </w:tcBorders>
            <w:shd w:val="clear" w:color="auto" w:fill="auto"/>
            <w:hideMark/>
          </w:tcPr>
          <w:p w:rsidR="00A01FFA" w:rsidRPr="00A01FFA" w:rsidRDefault="00A01FFA" w:rsidP="00A01FFA">
            <w:pPr>
              <w:spacing w:after="0" w:line="240" w:lineRule="auto"/>
              <w:jc w:val="both"/>
              <w:rPr>
                <w:rFonts w:ascii="Symbol" w:eastAsia="Times New Roman" w:hAnsi="Symbol" w:cs="Times New Roman"/>
                <w:color w:val="000000"/>
                <w:sz w:val="20"/>
                <w:szCs w:val="20"/>
              </w:rPr>
            </w:pPr>
            <w:r w:rsidRPr="00A01FFA">
              <w:rPr>
                <w:rFonts w:ascii="Symbol" w:eastAsia="Times New Roman" w:hAnsi="Symbol" w:cs="Times New Roman"/>
                <w:color w:val="000000"/>
                <w:sz w:val="20"/>
                <w:szCs w:val="20"/>
              </w:rPr>
              <w:t></w:t>
            </w:r>
            <w:r w:rsidRPr="00A01FFA">
              <w:rPr>
                <w:rFonts w:ascii="Times New Roman" w:eastAsia="Times New Roman" w:hAnsi="Times New Roman" w:cs="Times New Roman"/>
                <w:color w:val="000000"/>
                <w:sz w:val="14"/>
                <w:szCs w:val="14"/>
              </w:rPr>
              <w:t xml:space="preserve">         </w:t>
            </w:r>
            <w:r w:rsidRPr="00A01FFA">
              <w:rPr>
                <w:rFonts w:ascii="Calibri" w:eastAsia="Times New Roman" w:hAnsi="Calibri" w:cs="Times New Roman"/>
                <w:color w:val="000000"/>
                <w:sz w:val="20"/>
                <w:szCs w:val="20"/>
              </w:rPr>
              <w:t xml:space="preserve">other household-to-household transfers between Filipinos who have migrated abroad and their families in the Philippines </w:t>
            </w:r>
          </w:p>
        </w:tc>
      </w:tr>
      <w:tr w:rsidR="00A01FFA" w:rsidRPr="00A01FFA" w:rsidTr="00A01FFA">
        <w:trPr>
          <w:trHeight w:val="1020"/>
        </w:trPr>
        <w:tc>
          <w:tcPr>
            <w:tcW w:w="9915" w:type="dxa"/>
            <w:tcBorders>
              <w:top w:val="nil"/>
              <w:left w:val="nil"/>
              <w:bottom w:val="nil"/>
              <w:right w:val="nil"/>
            </w:tcBorders>
            <w:shd w:val="clear" w:color="auto" w:fill="auto"/>
            <w:hideMark/>
          </w:tcPr>
          <w:p w:rsidR="00A01FFA" w:rsidRPr="00A01FFA" w:rsidRDefault="00A01FFA" w:rsidP="00A01FFA">
            <w:pPr>
              <w:spacing w:after="0" w:line="240" w:lineRule="auto"/>
              <w:jc w:val="both"/>
              <w:rPr>
                <w:rFonts w:ascii="Symbol" w:eastAsia="Times New Roman" w:hAnsi="Symbol" w:cs="Times New Roman"/>
                <w:color w:val="000000"/>
                <w:sz w:val="20"/>
                <w:szCs w:val="20"/>
              </w:rPr>
            </w:pPr>
            <w:r w:rsidRPr="00A01FFA">
              <w:rPr>
                <w:rFonts w:ascii="Symbol" w:eastAsia="Times New Roman" w:hAnsi="Symbol" w:cs="Times New Roman"/>
                <w:color w:val="000000"/>
                <w:sz w:val="20"/>
                <w:szCs w:val="20"/>
              </w:rPr>
              <w:t></w:t>
            </w:r>
            <w:r w:rsidRPr="00A01FFA">
              <w:rPr>
                <w:rFonts w:ascii="Times New Roman" w:eastAsia="Times New Roman" w:hAnsi="Times New Roman" w:cs="Times New Roman"/>
                <w:color w:val="000000"/>
                <w:sz w:val="14"/>
                <w:szCs w:val="14"/>
              </w:rPr>
              <w:t xml:space="preserve">         </w:t>
            </w:r>
            <w:proofErr w:type="gramStart"/>
            <w:r w:rsidRPr="00A01FFA">
              <w:rPr>
                <w:rFonts w:ascii="Calibri" w:eastAsia="Times New Roman" w:hAnsi="Calibri" w:cs="Times New Roman"/>
                <w:color w:val="000000"/>
                <w:sz w:val="20"/>
                <w:szCs w:val="20"/>
              </w:rPr>
              <w:t>capital</w:t>
            </w:r>
            <w:proofErr w:type="gramEnd"/>
            <w:r w:rsidRPr="00A01FFA">
              <w:rPr>
                <w:rFonts w:ascii="Calibri" w:eastAsia="Times New Roman" w:hAnsi="Calibri" w:cs="Times New Roman"/>
                <w:color w:val="000000"/>
                <w:sz w:val="20"/>
                <w:szCs w:val="20"/>
              </w:rPr>
              <w:t xml:space="preserve"> transfers between households (i.e., the provision of resources for capital formation purposes, such as for construction of residential houses, between resident and non-resident households without anything of economic value being supplied in return).</w:t>
            </w:r>
          </w:p>
        </w:tc>
      </w:tr>
    </w:tbl>
    <w:p w:rsidR="00B02BF6" w:rsidRDefault="00B02BF6"/>
    <w:p w:rsidR="00A01FFA" w:rsidRDefault="00A01FFA">
      <w:pPr>
        <w:rPr>
          <w:i/>
        </w:rPr>
      </w:pPr>
      <w:r>
        <w:rPr>
          <w:i/>
        </w:rPr>
        <w:t>Sources of Data and Methodology</w:t>
      </w:r>
    </w:p>
    <w:tbl>
      <w:tblPr>
        <w:tblW w:w="9825" w:type="dxa"/>
        <w:tblInd w:w="93" w:type="dxa"/>
        <w:tblLook w:val="04A0" w:firstRow="1" w:lastRow="0" w:firstColumn="1" w:lastColumn="0" w:noHBand="0" w:noVBand="1"/>
      </w:tblPr>
      <w:tblGrid>
        <w:gridCol w:w="9825"/>
      </w:tblGrid>
      <w:tr w:rsidR="00A01FFA" w:rsidRPr="00A01FFA" w:rsidTr="00A01FFA">
        <w:trPr>
          <w:trHeight w:val="1275"/>
        </w:trPr>
        <w:tc>
          <w:tcPr>
            <w:tcW w:w="9825" w:type="dxa"/>
            <w:tcBorders>
              <w:top w:val="nil"/>
              <w:left w:val="nil"/>
              <w:bottom w:val="nil"/>
              <w:right w:val="nil"/>
            </w:tcBorders>
            <w:shd w:val="clear" w:color="auto" w:fill="auto"/>
            <w:hideMark/>
          </w:tcPr>
          <w:p w:rsidR="00A01FFA" w:rsidRPr="00A01FFA" w:rsidRDefault="00A01FFA" w:rsidP="00A01FFA">
            <w:pPr>
              <w:spacing w:after="0" w:line="240" w:lineRule="auto"/>
              <w:jc w:val="both"/>
              <w:rPr>
                <w:rFonts w:ascii="Calibri" w:eastAsia="Times New Roman" w:hAnsi="Calibri" w:cs="Times New Roman"/>
                <w:b/>
                <w:bCs/>
                <w:i/>
                <w:iCs/>
                <w:color w:val="000000"/>
                <w:sz w:val="20"/>
                <w:szCs w:val="20"/>
              </w:rPr>
            </w:pPr>
            <w:r w:rsidRPr="00A01FFA">
              <w:rPr>
                <w:rFonts w:ascii="Calibri" w:eastAsia="Times New Roman" w:hAnsi="Calibri" w:cs="Times New Roman"/>
                <w:b/>
                <w:bCs/>
                <w:i/>
                <w:iCs/>
                <w:color w:val="000000"/>
                <w:sz w:val="20"/>
                <w:szCs w:val="20"/>
              </w:rPr>
              <w:t>Conformity with standards:</w:t>
            </w:r>
            <w:r w:rsidRPr="00A01FFA">
              <w:rPr>
                <w:rFonts w:ascii="Calibri" w:eastAsia="Times New Roman" w:hAnsi="Calibri" w:cs="Times New Roman"/>
                <w:color w:val="000000"/>
                <w:sz w:val="20"/>
                <w:szCs w:val="20"/>
              </w:rPr>
              <w:t xml:space="preserve"> The compilation of personal remittances, including data sources and methodologies used, conform to the internationally accepted standards and guidelines set out in the International Monetary Fund’s (IMF) Balance of Payments and International Investment Position Manual, 6th Edition (BPM6).</w:t>
            </w:r>
          </w:p>
        </w:tc>
      </w:tr>
      <w:tr w:rsidR="00A01FFA" w:rsidRPr="00A01FFA" w:rsidTr="00A01FFA">
        <w:trPr>
          <w:trHeight w:val="300"/>
        </w:trPr>
        <w:tc>
          <w:tcPr>
            <w:tcW w:w="9825" w:type="dxa"/>
            <w:tcBorders>
              <w:top w:val="nil"/>
              <w:left w:val="nil"/>
              <w:bottom w:val="nil"/>
              <w:right w:val="nil"/>
            </w:tcBorders>
            <w:shd w:val="clear" w:color="auto" w:fill="auto"/>
            <w:hideMark/>
          </w:tcPr>
          <w:p w:rsidR="00A01FFA" w:rsidRPr="00A01FFA" w:rsidRDefault="00A01FFA" w:rsidP="00A01FFA">
            <w:pPr>
              <w:spacing w:after="0" w:line="240" w:lineRule="auto"/>
              <w:jc w:val="both"/>
              <w:rPr>
                <w:rFonts w:ascii="Calibri" w:eastAsia="Times New Roman" w:hAnsi="Calibri" w:cs="Times New Roman"/>
                <w:color w:val="000000"/>
              </w:rPr>
            </w:pPr>
          </w:p>
        </w:tc>
      </w:tr>
      <w:tr w:rsidR="00A01FFA" w:rsidRPr="00A01FFA" w:rsidTr="00A01FFA">
        <w:trPr>
          <w:trHeight w:val="1275"/>
        </w:trPr>
        <w:tc>
          <w:tcPr>
            <w:tcW w:w="9825" w:type="dxa"/>
            <w:tcBorders>
              <w:top w:val="nil"/>
              <w:left w:val="nil"/>
              <w:bottom w:val="nil"/>
              <w:right w:val="nil"/>
            </w:tcBorders>
            <w:shd w:val="clear" w:color="auto" w:fill="auto"/>
            <w:hideMark/>
          </w:tcPr>
          <w:p w:rsidR="00A01FFA" w:rsidRPr="00A01FFA" w:rsidRDefault="00A01FFA" w:rsidP="00A01FFA">
            <w:pPr>
              <w:spacing w:after="0" w:line="240" w:lineRule="auto"/>
              <w:jc w:val="both"/>
              <w:rPr>
                <w:rFonts w:ascii="Calibri" w:eastAsia="Times New Roman" w:hAnsi="Calibri" w:cs="Times New Roman"/>
                <w:b/>
                <w:bCs/>
                <w:i/>
                <w:iCs/>
                <w:color w:val="000000"/>
                <w:sz w:val="20"/>
                <w:szCs w:val="20"/>
              </w:rPr>
            </w:pPr>
            <w:r w:rsidRPr="00A01FFA">
              <w:rPr>
                <w:rFonts w:ascii="Calibri" w:eastAsia="Times New Roman" w:hAnsi="Calibri" w:cs="Times New Roman"/>
                <w:b/>
                <w:bCs/>
                <w:i/>
                <w:iCs/>
                <w:color w:val="000000"/>
                <w:sz w:val="20"/>
                <w:szCs w:val="20"/>
              </w:rPr>
              <w:t>Data Sources</w:t>
            </w:r>
            <w:r w:rsidRPr="00A01FFA">
              <w:rPr>
                <w:rFonts w:ascii="Calibri" w:eastAsia="Times New Roman" w:hAnsi="Calibri" w:cs="Times New Roman"/>
                <w:color w:val="000000"/>
                <w:sz w:val="20"/>
                <w:szCs w:val="20"/>
              </w:rPr>
              <w:t xml:space="preserve">: The data are sourced primarily from reports submitted by banks through the International Transactions Reporting System (ITRS).  Remittances in kind are computed using parameters derived from the results of the Survey on Overseas Filipinos (SOF) conducted by the Philippine Statistics Authority (PSA).  </w:t>
            </w:r>
          </w:p>
        </w:tc>
      </w:tr>
      <w:tr w:rsidR="00A01FFA" w:rsidRPr="00A01FFA" w:rsidTr="00A01FFA">
        <w:trPr>
          <w:trHeight w:val="300"/>
        </w:trPr>
        <w:tc>
          <w:tcPr>
            <w:tcW w:w="9825" w:type="dxa"/>
            <w:tcBorders>
              <w:top w:val="nil"/>
              <w:left w:val="nil"/>
              <w:bottom w:val="nil"/>
              <w:right w:val="nil"/>
            </w:tcBorders>
            <w:shd w:val="clear" w:color="auto" w:fill="auto"/>
            <w:hideMark/>
          </w:tcPr>
          <w:p w:rsidR="00A01FFA" w:rsidRPr="00A01FFA" w:rsidRDefault="00A01FFA" w:rsidP="00A01FFA">
            <w:pPr>
              <w:spacing w:after="0" w:line="240" w:lineRule="auto"/>
              <w:rPr>
                <w:rFonts w:ascii="Calibri" w:eastAsia="Times New Roman" w:hAnsi="Calibri" w:cs="Times New Roman"/>
                <w:color w:val="000000"/>
                <w:sz w:val="20"/>
                <w:szCs w:val="20"/>
              </w:rPr>
            </w:pPr>
          </w:p>
        </w:tc>
      </w:tr>
      <w:tr w:rsidR="00A01FFA" w:rsidRPr="00A01FFA" w:rsidTr="00A01FFA">
        <w:trPr>
          <w:trHeight w:val="1110"/>
        </w:trPr>
        <w:tc>
          <w:tcPr>
            <w:tcW w:w="9825" w:type="dxa"/>
            <w:tcBorders>
              <w:top w:val="nil"/>
              <w:left w:val="nil"/>
              <w:bottom w:val="nil"/>
              <w:right w:val="nil"/>
            </w:tcBorders>
            <w:shd w:val="clear" w:color="auto" w:fill="auto"/>
            <w:hideMark/>
          </w:tcPr>
          <w:p w:rsidR="00A01FFA" w:rsidRPr="00A01FFA" w:rsidRDefault="00A01FFA" w:rsidP="00A01FFA">
            <w:pPr>
              <w:spacing w:after="0" w:line="240" w:lineRule="auto"/>
              <w:rPr>
                <w:rFonts w:ascii="Calibri" w:eastAsia="Times New Roman" w:hAnsi="Calibri" w:cs="Times New Roman"/>
                <w:b/>
                <w:bCs/>
                <w:i/>
                <w:iCs/>
                <w:color w:val="000000"/>
                <w:sz w:val="20"/>
                <w:szCs w:val="20"/>
              </w:rPr>
            </w:pPr>
            <w:r w:rsidRPr="00A01FFA">
              <w:rPr>
                <w:rFonts w:ascii="Calibri" w:eastAsia="Times New Roman" w:hAnsi="Calibri" w:cs="Times New Roman"/>
                <w:b/>
                <w:bCs/>
                <w:i/>
                <w:iCs/>
                <w:color w:val="000000"/>
                <w:sz w:val="20"/>
                <w:szCs w:val="20"/>
              </w:rPr>
              <w:t xml:space="preserve">Periodicity: </w:t>
            </w:r>
            <w:r w:rsidRPr="00A01FFA">
              <w:rPr>
                <w:rFonts w:ascii="Calibri" w:eastAsia="Times New Roman" w:hAnsi="Calibri" w:cs="Times New Roman"/>
                <w:color w:val="000000"/>
                <w:sz w:val="20"/>
                <w:szCs w:val="20"/>
              </w:rPr>
              <w:t>OF Remittances Statistics are published every 15</w:t>
            </w:r>
            <w:r w:rsidRPr="00A01FFA">
              <w:rPr>
                <w:rFonts w:ascii="Calibri" w:eastAsia="Times New Roman" w:hAnsi="Calibri" w:cs="Times New Roman"/>
                <w:color w:val="000000"/>
                <w:sz w:val="20"/>
                <w:szCs w:val="20"/>
                <w:vertAlign w:val="superscript"/>
              </w:rPr>
              <w:t>th</w:t>
            </w:r>
            <w:r w:rsidRPr="00A01FFA">
              <w:rPr>
                <w:rFonts w:ascii="Calibri" w:eastAsia="Times New Roman" w:hAnsi="Calibri" w:cs="Times New Roman"/>
                <w:color w:val="000000"/>
                <w:sz w:val="20"/>
                <w:szCs w:val="20"/>
              </w:rPr>
              <w:t xml:space="preserve"> day of the month (or the next working day if the 15</w:t>
            </w:r>
            <w:r w:rsidRPr="00A01FFA">
              <w:rPr>
                <w:rFonts w:ascii="Calibri" w:eastAsia="Times New Roman" w:hAnsi="Calibri" w:cs="Times New Roman"/>
                <w:color w:val="000000"/>
                <w:sz w:val="20"/>
                <w:szCs w:val="20"/>
                <w:vertAlign w:val="superscript"/>
              </w:rPr>
              <w:t>th</w:t>
            </w:r>
            <w:r w:rsidRPr="00A01FFA">
              <w:rPr>
                <w:rFonts w:ascii="Calibri" w:eastAsia="Times New Roman" w:hAnsi="Calibri" w:cs="Times New Roman"/>
                <w:color w:val="000000"/>
                <w:sz w:val="20"/>
                <w:szCs w:val="20"/>
              </w:rPr>
              <w:t xml:space="preserve"> falls on a weekend or is a non-working holiday) with two-month lag. Revisions, if any, are effected in the next reporting period.                                                                                                                                                                                                    </w:t>
            </w:r>
          </w:p>
        </w:tc>
      </w:tr>
      <w:tr w:rsidR="00A01FFA" w:rsidRPr="00A01FFA" w:rsidTr="00A01FFA">
        <w:trPr>
          <w:trHeight w:val="300"/>
        </w:trPr>
        <w:tc>
          <w:tcPr>
            <w:tcW w:w="9825" w:type="dxa"/>
            <w:tcBorders>
              <w:top w:val="nil"/>
              <w:left w:val="nil"/>
              <w:bottom w:val="nil"/>
              <w:right w:val="nil"/>
            </w:tcBorders>
            <w:shd w:val="clear" w:color="auto" w:fill="auto"/>
            <w:hideMark/>
          </w:tcPr>
          <w:p w:rsidR="00A01FFA" w:rsidRPr="00A01FFA" w:rsidRDefault="00A01FFA" w:rsidP="00A01FFA">
            <w:pPr>
              <w:spacing w:after="0" w:line="240" w:lineRule="auto"/>
              <w:rPr>
                <w:rFonts w:ascii="Calibri" w:eastAsia="Times New Roman" w:hAnsi="Calibri" w:cs="Times New Roman"/>
                <w:b/>
                <w:bCs/>
                <w:i/>
                <w:iCs/>
                <w:color w:val="000000"/>
                <w:sz w:val="20"/>
                <w:szCs w:val="20"/>
              </w:rPr>
            </w:pPr>
          </w:p>
        </w:tc>
      </w:tr>
      <w:tr w:rsidR="00A01FFA" w:rsidRPr="00A01FFA" w:rsidTr="00A01FFA">
        <w:trPr>
          <w:trHeight w:val="300"/>
        </w:trPr>
        <w:tc>
          <w:tcPr>
            <w:tcW w:w="9825" w:type="dxa"/>
            <w:tcBorders>
              <w:top w:val="nil"/>
              <w:left w:val="nil"/>
              <w:bottom w:val="nil"/>
              <w:right w:val="nil"/>
            </w:tcBorders>
            <w:shd w:val="clear" w:color="auto" w:fill="auto"/>
            <w:hideMark/>
          </w:tcPr>
          <w:p w:rsidR="00A01FFA" w:rsidRPr="00A01FFA" w:rsidRDefault="00A01FFA" w:rsidP="00A01FFA">
            <w:pPr>
              <w:spacing w:after="0" w:line="240" w:lineRule="auto"/>
              <w:rPr>
                <w:rFonts w:ascii="Calibri" w:eastAsia="Times New Roman" w:hAnsi="Calibri" w:cs="Times New Roman"/>
                <w:b/>
                <w:bCs/>
                <w:i/>
                <w:iCs/>
                <w:color w:val="000000"/>
                <w:sz w:val="20"/>
                <w:szCs w:val="20"/>
              </w:rPr>
            </w:pPr>
            <w:r w:rsidRPr="00A01FFA">
              <w:rPr>
                <w:rFonts w:ascii="Calibri" w:eastAsia="Times New Roman" w:hAnsi="Calibri" w:cs="Times New Roman"/>
                <w:b/>
                <w:bCs/>
                <w:i/>
                <w:iCs/>
                <w:color w:val="000000"/>
                <w:sz w:val="20"/>
                <w:szCs w:val="20"/>
              </w:rPr>
              <w:t>Valuation:</w:t>
            </w:r>
            <w:r w:rsidRPr="00A01FFA">
              <w:rPr>
                <w:rFonts w:ascii="Calibri" w:eastAsia="Times New Roman" w:hAnsi="Calibri" w:cs="Times New Roman"/>
                <w:color w:val="000000"/>
                <w:sz w:val="20"/>
                <w:szCs w:val="20"/>
              </w:rPr>
              <w:t xml:space="preserve"> Transactions are valued at market prices. </w:t>
            </w:r>
          </w:p>
        </w:tc>
      </w:tr>
      <w:tr w:rsidR="00A01FFA" w:rsidRPr="00A01FFA" w:rsidTr="00A01FFA">
        <w:trPr>
          <w:trHeight w:val="300"/>
        </w:trPr>
        <w:tc>
          <w:tcPr>
            <w:tcW w:w="9825" w:type="dxa"/>
            <w:tcBorders>
              <w:top w:val="nil"/>
              <w:left w:val="nil"/>
              <w:bottom w:val="nil"/>
              <w:right w:val="nil"/>
            </w:tcBorders>
            <w:shd w:val="clear" w:color="auto" w:fill="auto"/>
            <w:hideMark/>
          </w:tcPr>
          <w:p w:rsidR="00A01FFA" w:rsidRPr="00A01FFA" w:rsidRDefault="00A01FFA" w:rsidP="00A01FFA">
            <w:pPr>
              <w:spacing w:after="0" w:line="240" w:lineRule="auto"/>
              <w:rPr>
                <w:rFonts w:ascii="Calibri" w:eastAsia="Times New Roman" w:hAnsi="Calibri" w:cs="Times New Roman"/>
                <w:b/>
                <w:bCs/>
                <w:i/>
                <w:iCs/>
                <w:color w:val="000000"/>
                <w:sz w:val="20"/>
                <w:szCs w:val="20"/>
              </w:rPr>
            </w:pPr>
          </w:p>
        </w:tc>
      </w:tr>
      <w:tr w:rsidR="00A01FFA" w:rsidRPr="00A01FFA" w:rsidTr="00A01FFA">
        <w:trPr>
          <w:trHeight w:val="315"/>
        </w:trPr>
        <w:tc>
          <w:tcPr>
            <w:tcW w:w="9825" w:type="dxa"/>
            <w:tcBorders>
              <w:top w:val="nil"/>
              <w:left w:val="nil"/>
              <w:bottom w:val="nil"/>
              <w:right w:val="nil"/>
            </w:tcBorders>
            <w:shd w:val="clear" w:color="auto" w:fill="auto"/>
            <w:hideMark/>
          </w:tcPr>
          <w:p w:rsidR="00A01FFA" w:rsidRPr="00A01FFA" w:rsidRDefault="00A01FFA" w:rsidP="00A01FFA">
            <w:pPr>
              <w:spacing w:after="0" w:line="240" w:lineRule="auto"/>
              <w:jc w:val="both"/>
              <w:rPr>
                <w:rFonts w:ascii="Calibri" w:eastAsia="Times New Roman" w:hAnsi="Calibri" w:cs="Times New Roman"/>
                <w:b/>
                <w:bCs/>
                <w:i/>
                <w:iCs/>
                <w:color w:val="000000"/>
                <w:sz w:val="20"/>
                <w:szCs w:val="20"/>
              </w:rPr>
            </w:pPr>
            <w:r w:rsidRPr="00A01FFA">
              <w:rPr>
                <w:rFonts w:ascii="Calibri" w:eastAsia="Times New Roman" w:hAnsi="Calibri" w:cs="Times New Roman"/>
                <w:b/>
                <w:bCs/>
                <w:i/>
                <w:iCs/>
                <w:color w:val="000000"/>
                <w:sz w:val="20"/>
                <w:szCs w:val="20"/>
              </w:rPr>
              <w:t>Unit of account:</w:t>
            </w:r>
            <w:r w:rsidRPr="00A01FFA">
              <w:rPr>
                <w:rFonts w:ascii="Calibri" w:eastAsia="Times New Roman" w:hAnsi="Calibri" w:cs="Times New Roman"/>
                <w:color w:val="000000"/>
                <w:sz w:val="20"/>
                <w:szCs w:val="20"/>
              </w:rPr>
              <w:t xml:space="preserve"> Remittances statistics are compiled in US dollars. </w:t>
            </w:r>
          </w:p>
        </w:tc>
      </w:tr>
    </w:tbl>
    <w:p w:rsidR="00A01FFA" w:rsidRPr="00A01FFA" w:rsidRDefault="00A01FFA"/>
    <w:sectPr w:rsidR="00A01FFA" w:rsidRPr="00A0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FA"/>
    <w:rsid w:val="00A01FFA"/>
    <w:rsid w:val="00B0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66696">
      <w:bodyDiv w:val="1"/>
      <w:marLeft w:val="0"/>
      <w:marRight w:val="0"/>
      <w:marTop w:val="0"/>
      <w:marBottom w:val="0"/>
      <w:divBdr>
        <w:top w:val="none" w:sz="0" w:space="0" w:color="auto"/>
        <w:left w:val="none" w:sz="0" w:space="0" w:color="auto"/>
        <w:bottom w:val="none" w:sz="0" w:space="0" w:color="auto"/>
        <w:right w:val="none" w:sz="0" w:space="0" w:color="auto"/>
      </w:divBdr>
    </w:div>
    <w:div w:id="345911167">
      <w:bodyDiv w:val="1"/>
      <w:marLeft w:val="0"/>
      <w:marRight w:val="0"/>
      <w:marTop w:val="0"/>
      <w:marBottom w:val="0"/>
      <w:divBdr>
        <w:top w:val="none" w:sz="0" w:space="0" w:color="auto"/>
        <w:left w:val="none" w:sz="0" w:space="0" w:color="auto"/>
        <w:bottom w:val="none" w:sz="0" w:space="0" w:color="auto"/>
        <w:right w:val="none" w:sz="0" w:space="0" w:color="auto"/>
      </w:divBdr>
    </w:div>
    <w:div w:id="542601997">
      <w:bodyDiv w:val="1"/>
      <w:marLeft w:val="0"/>
      <w:marRight w:val="0"/>
      <w:marTop w:val="0"/>
      <w:marBottom w:val="0"/>
      <w:divBdr>
        <w:top w:val="none" w:sz="0" w:space="0" w:color="auto"/>
        <w:left w:val="none" w:sz="0" w:space="0" w:color="auto"/>
        <w:bottom w:val="none" w:sz="0" w:space="0" w:color="auto"/>
        <w:right w:val="none" w:sz="0" w:space="0" w:color="auto"/>
      </w:divBdr>
    </w:div>
    <w:div w:id="12558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2015-09-14T02:11:00Z</dcterms:created>
  <dcterms:modified xsi:type="dcterms:W3CDTF">2015-09-14T02:16:00Z</dcterms:modified>
</cp:coreProperties>
</file>