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8FF" w:rsidRPr="00B838FF" w:rsidRDefault="00B838FF" w:rsidP="00B838FF">
      <w:pPr>
        <w:autoSpaceDE w:val="0"/>
        <w:autoSpaceDN w:val="0"/>
        <w:adjustRightInd w:val="0"/>
        <w:spacing w:after="0" w:line="240" w:lineRule="auto"/>
        <w:jc w:val="both"/>
        <w:rPr>
          <w:rFonts w:cs="TT1480o00"/>
          <w:i/>
          <w:lang w:val="en-PH" w:eastAsia="en-PH"/>
        </w:rPr>
      </w:pPr>
      <w:r>
        <w:rPr>
          <w:rFonts w:cs="TT1480o00"/>
          <w:i/>
          <w:lang w:val="en-PH" w:eastAsia="en-PH"/>
        </w:rPr>
        <w:t>Scope and Classification</w:t>
      </w:r>
    </w:p>
    <w:p w:rsidR="00B838FF" w:rsidRDefault="00B838FF" w:rsidP="00B838FF">
      <w:pPr>
        <w:autoSpaceDE w:val="0"/>
        <w:autoSpaceDN w:val="0"/>
        <w:adjustRightInd w:val="0"/>
        <w:spacing w:after="0" w:line="240" w:lineRule="auto"/>
        <w:jc w:val="both"/>
        <w:rPr>
          <w:rFonts w:cs="TT1480o00"/>
          <w:lang w:val="en-PH" w:eastAsia="en-PH"/>
        </w:rPr>
      </w:pPr>
    </w:p>
    <w:p w:rsidR="00B838FF" w:rsidRDefault="00B838FF" w:rsidP="00B838FF">
      <w:pPr>
        <w:autoSpaceDE w:val="0"/>
        <w:autoSpaceDN w:val="0"/>
        <w:adjustRightInd w:val="0"/>
        <w:spacing w:after="0" w:line="240" w:lineRule="auto"/>
        <w:jc w:val="both"/>
        <w:rPr>
          <w:rFonts w:cs="TT1480o00"/>
          <w:lang w:val="en-PH" w:eastAsia="en-PH"/>
        </w:rPr>
      </w:pPr>
      <w:r w:rsidRPr="00BA51B4">
        <w:rPr>
          <w:rFonts w:cs="TT1480o00"/>
          <w:lang w:val="en-PH" w:eastAsia="en-PH"/>
        </w:rPr>
        <w:t xml:space="preserve">The </w:t>
      </w:r>
      <w:r>
        <w:rPr>
          <w:rFonts w:cs="TT1480o00"/>
          <w:lang w:val="en-PH" w:eastAsia="en-PH"/>
        </w:rPr>
        <w:t xml:space="preserve">term </w:t>
      </w:r>
      <w:r w:rsidRPr="00BA51B4">
        <w:rPr>
          <w:rFonts w:cs="TT1480o00"/>
          <w:lang w:val="en-PH" w:eastAsia="en-PH"/>
        </w:rPr>
        <w:t xml:space="preserve">“retail price” </w:t>
      </w:r>
      <w:r>
        <w:rPr>
          <w:rFonts w:cs="TT1480o00"/>
          <w:lang w:val="en-PH" w:eastAsia="en-PH"/>
        </w:rPr>
        <w:t xml:space="preserve">refers to the stage of distribution from retailer to end-user or consumer. It is computed as the sum of the value of </w:t>
      </w:r>
      <w:r>
        <w:rPr>
          <w:rFonts w:eastAsia="Times New Roman"/>
          <w:color w:val="000000"/>
        </w:rPr>
        <w:t xml:space="preserve">local production, plus estimated values of imports and retail trade and transport mark-ups. </w:t>
      </w:r>
    </w:p>
    <w:p w:rsidR="00B838FF" w:rsidRDefault="00B838FF" w:rsidP="00B838FF">
      <w:pPr>
        <w:autoSpaceDE w:val="0"/>
        <w:autoSpaceDN w:val="0"/>
        <w:adjustRightInd w:val="0"/>
        <w:spacing w:after="0" w:line="240" w:lineRule="auto"/>
        <w:jc w:val="both"/>
        <w:rPr>
          <w:rFonts w:cs="TT1480o00"/>
          <w:lang w:val="en-PH" w:eastAsia="en-PH"/>
        </w:rPr>
      </w:pPr>
    </w:p>
    <w:p w:rsidR="00B838FF" w:rsidRPr="003C7734" w:rsidRDefault="00B838FF" w:rsidP="00B838FF">
      <w:pPr>
        <w:autoSpaceDE w:val="0"/>
        <w:autoSpaceDN w:val="0"/>
        <w:adjustRightInd w:val="0"/>
        <w:spacing w:after="0" w:line="240" w:lineRule="auto"/>
        <w:jc w:val="both"/>
      </w:pPr>
      <w:r>
        <w:t>The RPI</w:t>
      </w:r>
      <w:r w:rsidRPr="003C7734">
        <w:t xml:space="preserve"> uses a </w:t>
      </w:r>
      <w:r w:rsidRPr="00A252CA">
        <w:rPr>
          <w:rFonts w:cs="TT1480o00"/>
          <w:lang w:val="en-PH" w:eastAsia="en-PH"/>
        </w:rPr>
        <w:t xml:space="preserve">sample of commodities that represent a large variety of goods traded in the retail market. This is drawn from the </w:t>
      </w:r>
      <w:r w:rsidRPr="003C7734">
        <w:t xml:space="preserve">results of the updating activity for CPI market basket in the National Capital Region (NCR). Another basis for the sample of commodities is the list of materials from the Input-Output Survey of the Philippine Business and Industry in the retail sector. </w:t>
      </w:r>
    </w:p>
    <w:p w:rsidR="00B838FF" w:rsidRPr="003C7734" w:rsidRDefault="00B838FF" w:rsidP="00B838FF">
      <w:pPr>
        <w:spacing w:after="0" w:line="240" w:lineRule="auto"/>
        <w:jc w:val="both"/>
      </w:pPr>
    </w:p>
    <w:p w:rsidR="00B838FF" w:rsidRPr="003C7734" w:rsidRDefault="00B838FF" w:rsidP="00B838FF">
      <w:pPr>
        <w:spacing w:after="0" w:line="240" w:lineRule="auto"/>
        <w:jc w:val="both"/>
      </w:pPr>
      <w:r w:rsidRPr="003C7734">
        <w:t xml:space="preserve">The present RPI series consists of 500 commodities. It follows the same classification and grouping as that of the Philippine Standard Commodity Classification (PSCC). These items are classified into </w:t>
      </w:r>
      <w:r>
        <w:t>the following</w:t>
      </w:r>
      <w:r w:rsidRPr="003C7734">
        <w:t xml:space="preserve"> major groups: </w:t>
      </w:r>
    </w:p>
    <w:p w:rsidR="00B838FF" w:rsidRPr="003C7734" w:rsidRDefault="00B838FF" w:rsidP="00B838FF">
      <w:pPr>
        <w:spacing w:after="0" w:line="240" w:lineRule="auto"/>
        <w:jc w:val="both"/>
      </w:pPr>
    </w:p>
    <w:p w:rsidR="00B838FF" w:rsidRPr="003C7734" w:rsidRDefault="00B838FF" w:rsidP="00B838FF">
      <w:pPr>
        <w:numPr>
          <w:ilvl w:val="0"/>
          <w:numId w:val="1"/>
        </w:numPr>
        <w:spacing w:after="0" w:line="240" w:lineRule="auto"/>
        <w:jc w:val="both"/>
      </w:pPr>
      <w:r>
        <w:t>All I</w:t>
      </w:r>
      <w:r w:rsidRPr="003C7734">
        <w:t>tems</w:t>
      </w:r>
    </w:p>
    <w:p w:rsidR="00B838FF" w:rsidRPr="003C7734" w:rsidRDefault="00B838FF" w:rsidP="00B838FF">
      <w:pPr>
        <w:numPr>
          <w:ilvl w:val="0"/>
          <w:numId w:val="1"/>
        </w:numPr>
        <w:spacing w:after="0" w:line="240" w:lineRule="auto"/>
        <w:jc w:val="both"/>
      </w:pPr>
      <w:r w:rsidRPr="003C7734">
        <w:t>Food</w:t>
      </w:r>
    </w:p>
    <w:p w:rsidR="00B838FF" w:rsidRPr="003C7734" w:rsidRDefault="00B838FF" w:rsidP="00B838FF">
      <w:pPr>
        <w:numPr>
          <w:ilvl w:val="0"/>
          <w:numId w:val="1"/>
        </w:numPr>
        <w:spacing w:after="0" w:line="240" w:lineRule="auto"/>
        <w:jc w:val="both"/>
      </w:pPr>
      <w:r w:rsidRPr="003C7734">
        <w:t>Beverages and Tobacco</w:t>
      </w:r>
    </w:p>
    <w:p w:rsidR="00B838FF" w:rsidRPr="003C7734" w:rsidRDefault="00B838FF" w:rsidP="00B838FF">
      <w:pPr>
        <w:numPr>
          <w:ilvl w:val="0"/>
          <w:numId w:val="1"/>
        </w:numPr>
        <w:spacing w:after="0" w:line="240" w:lineRule="auto"/>
        <w:jc w:val="both"/>
      </w:pPr>
      <w:r w:rsidRPr="003C7734">
        <w:t>Crude Materials, Inedible except Fuels</w:t>
      </w:r>
    </w:p>
    <w:p w:rsidR="00B838FF" w:rsidRDefault="00B838FF" w:rsidP="00B838FF">
      <w:pPr>
        <w:numPr>
          <w:ilvl w:val="0"/>
          <w:numId w:val="1"/>
        </w:numPr>
        <w:spacing w:after="0" w:line="240" w:lineRule="auto"/>
        <w:jc w:val="both"/>
      </w:pPr>
      <w:r>
        <w:t>Mineral Fuels, Lubricants and Related Materials</w:t>
      </w:r>
    </w:p>
    <w:p w:rsidR="00B838FF" w:rsidRDefault="00B838FF" w:rsidP="00B838FF">
      <w:pPr>
        <w:numPr>
          <w:ilvl w:val="0"/>
          <w:numId w:val="1"/>
        </w:numPr>
        <w:spacing w:after="0" w:line="240" w:lineRule="auto"/>
        <w:jc w:val="both"/>
      </w:pPr>
      <w:r>
        <w:t>Chemicals, including Animal and Vegetable Oils and Fats</w:t>
      </w:r>
    </w:p>
    <w:p w:rsidR="00B838FF" w:rsidRDefault="00B838FF" w:rsidP="00B838FF">
      <w:pPr>
        <w:numPr>
          <w:ilvl w:val="0"/>
          <w:numId w:val="1"/>
        </w:numPr>
        <w:spacing w:after="0" w:line="240" w:lineRule="auto"/>
        <w:jc w:val="both"/>
      </w:pPr>
      <w:r>
        <w:t>Manufactured Goods classified chiefly  by Materials</w:t>
      </w:r>
    </w:p>
    <w:p w:rsidR="00B838FF" w:rsidRDefault="00B838FF" w:rsidP="00B838FF">
      <w:pPr>
        <w:numPr>
          <w:ilvl w:val="0"/>
          <w:numId w:val="1"/>
        </w:numPr>
        <w:spacing w:after="0" w:line="240" w:lineRule="auto"/>
        <w:jc w:val="both"/>
      </w:pPr>
      <w:r>
        <w:t>Machinery and Transport Equipment</w:t>
      </w:r>
    </w:p>
    <w:p w:rsidR="00B838FF" w:rsidRDefault="00B838FF" w:rsidP="00B838FF">
      <w:pPr>
        <w:numPr>
          <w:ilvl w:val="0"/>
          <w:numId w:val="1"/>
        </w:numPr>
        <w:spacing w:after="0" w:line="240" w:lineRule="auto"/>
        <w:jc w:val="both"/>
      </w:pPr>
      <w:r>
        <w:t>Miscellaneous Manufactured Articles</w:t>
      </w:r>
    </w:p>
    <w:p w:rsidR="00B838FF" w:rsidRDefault="00B838FF" w:rsidP="00B838FF">
      <w:pPr>
        <w:spacing w:after="0" w:line="240" w:lineRule="auto"/>
        <w:jc w:val="both"/>
      </w:pPr>
    </w:p>
    <w:p w:rsidR="00DF1C82" w:rsidRDefault="00B838FF" w:rsidP="00B838FF">
      <w:r>
        <w:t>The RPI is generated for the National Capital Region (NCR) only</w:t>
      </w:r>
    </w:p>
    <w:p w:rsidR="00B838FF" w:rsidRDefault="00B838FF" w:rsidP="00B838FF">
      <w:bookmarkStart w:id="0" w:name="_GoBack"/>
      <w:bookmarkEnd w:id="0"/>
    </w:p>
    <w:p w:rsidR="00B838FF" w:rsidRPr="00B838FF" w:rsidRDefault="00B838FF" w:rsidP="00B838FF">
      <w:pPr>
        <w:rPr>
          <w:i/>
        </w:rPr>
      </w:pPr>
      <w:r>
        <w:rPr>
          <w:i/>
        </w:rPr>
        <w:t>Source of Data and Methodology</w:t>
      </w:r>
    </w:p>
    <w:p w:rsidR="00B838FF" w:rsidRDefault="00B838FF" w:rsidP="00B838FF">
      <w:pPr>
        <w:spacing w:after="0" w:line="240" w:lineRule="auto"/>
        <w:jc w:val="both"/>
        <w:rPr>
          <w:rFonts w:eastAsia="Times New Roman"/>
          <w:color w:val="000000"/>
        </w:rPr>
      </w:pPr>
      <w:r w:rsidRPr="00B8153A">
        <w:rPr>
          <w:rFonts w:eastAsia="Times New Roman"/>
          <w:color w:val="000000"/>
        </w:rPr>
        <w:t xml:space="preserve">The </w:t>
      </w:r>
      <w:r>
        <w:rPr>
          <w:rFonts w:eastAsia="Times New Roman"/>
          <w:b/>
          <w:color w:val="000000"/>
        </w:rPr>
        <w:t>Retail Price Index</w:t>
      </w:r>
      <w:r w:rsidRPr="00B8153A">
        <w:rPr>
          <w:rFonts w:eastAsia="Times New Roman"/>
          <w:color w:val="000000"/>
        </w:rPr>
        <w:t xml:space="preserve"> is generated by the Philippine Statistics Authority (PSA</w:t>
      </w:r>
      <w:r>
        <w:rPr>
          <w:rFonts w:eastAsia="Times New Roman"/>
          <w:color w:val="000000"/>
        </w:rPr>
        <w:t xml:space="preserve">). </w:t>
      </w:r>
      <w:r w:rsidRPr="006F7315">
        <w:rPr>
          <w:rFonts w:eastAsia="Times New Roman"/>
          <w:color w:val="000000"/>
        </w:rPr>
        <w:t>Four price quotations are collected for each of the</w:t>
      </w:r>
      <w:r>
        <w:rPr>
          <w:rFonts w:eastAsia="Times New Roman"/>
          <w:color w:val="000000"/>
        </w:rPr>
        <w:t xml:space="preserve"> </w:t>
      </w:r>
      <w:r w:rsidRPr="006F7315">
        <w:rPr>
          <w:rFonts w:eastAsia="Times New Roman"/>
          <w:color w:val="000000"/>
        </w:rPr>
        <w:t>commodities in the market basket. Price collection for food is</w:t>
      </w:r>
      <w:r>
        <w:rPr>
          <w:rFonts w:eastAsia="Times New Roman"/>
          <w:color w:val="000000"/>
        </w:rPr>
        <w:t xml:space="preserve"> </w:t>
      </w:r>
      <w:r w:rsidRPr="006F7315">
        <w:rPr>
          <w:rFonts w:eastAsia="Times New Roman"/>
          <w:color w:val="000000"/>
        </w:rPr>
        <w:t>done weekly in ten markets. For tobacco items, seven markets are</w:t>
      </w:r>
      <w:r>
        <w:rPr>
          <w:rFonts w:eastAsia="Times New Roman"/>
          <w:color w:val="000000"/>
        </w:rPr>
        <w:t xml:space="preserve"> </w:t>
      </w:r>
      <w:r w:rsidRPr="006F7315">
        <w:rPr>
          <w:rFonts w:eastAsia="Times New Roman"/>
          <w:color w:val="000000"/>
        </w:rPr>
        <w:t>surveyed monthly while for the other non-food commodities, the</w:t>
      </w:r>
      <w:r>
        <w:rPr>
          <w:rFonts w:eastAsia="Times New Roman"/>
          <w:color w:val="000000"/>
        </w:rPr>
        <w:t xml:space="preserve"> </w:t>
      </w:r>
      <w:r w:rsidRPr="006F7315">
        <w:rPr>
          <w:rFonts w:eastAsia="Times New Roman"/>
          <w:color w:val="000000"/>
        </w:rPr>
        <w:t>surveys are done twice a month in twelve markets.</w:t>
      </w:r>
      <w:r>
        <w:rPr>
          <w:rFonts w:eastAsia="Times New Roman"/>
          <w:color w:val="000000"/>
        </w:rPr>
        <w:t xml:space="preserve"> These price quotations are used to compute the RPI using the weighted arithmetic mean of price relatives with fixed base period and weights (</w:t>
      </w:r>
      <w:proofErr w:type="spellStart"/>
      <w:r w:rsidRPr="006272C2">
        <w:rPr>
          <w:rFonts w:eastAsia="Times New Roman"/>
          <w:i/>
          <w:color w:val="000000"/>
        </w:rPr>
        <w:t>Laspeyres</w:t>
      </w:r>
      <w:proofErr w:type="spellEnd"/>
      <w:r>
        <w:rPr>
          <w:rFonts w:eastAsia="Times New Roman"/>
          <w:i/>
          <w:color w:val="000000"/>
        </w:rPr>
        <w:t>’</w:t>
      </w:r>
      <w:r>
        <w:rPr>
          <w:rFonts w:eastAsia="Times New Roman"/>
          <w:color w:val="000000"/>
        </w:rPr>
        <w:t xml:space="preserve"> formula).</w:t>
      </w:r>
    </w:p>
    <w:p w:rsidR="00B838FF" w:rsidRDefault="00B838FF" w:rsidP="00B838FF">
      <w:pPr>
        <w:spacing w:after="0" w:line="240" w:lineRule="auto"/>
        <w:jc w:val="both"/>
        <w:rPr>
          <w:rFonts w:eastAsia="Times New Roman"/>
          <w:color w:val="000000"/>
        </w:rPr>
      </w:pPr>
    </w:p>
    <w:p w:rsidR="00B838FF" w:rsidRDefault="00B838FF" w:rsidP="00B838FF">
      <w:pPr>
        <w:spacing w:after="0" w:line="240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The present series uses 2000 as the base period. The weights are computed based on the 2000 Input-Output Tables. </w:t>
      </w:r>
    </w:p>
    <w:p w:rsidR="00B838FF" w:rsidRDefault="00B838FF" w:rsidP="00B838FF"/>
    <w:sectPr w:rsidR="00B8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1480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03910"/>
    <w:multiLevelType w:val="hybridMultilevel"/>
    <w:tmpl w:val="4C9C6550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FF"/>
    <w:rsid w:val="00B838FF"/>
    <w:rsid w:val="00DF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8F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8F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CAPUNDAN</dc:creator>
  <cp:lastModifiedBy>CAPUNDAN</cp:lastModifiedBy>
  <cp:revision>1</cp:revision>
  <dcterms:created xsi:type="dcterms:W3CDTF">2015-09-02T06:47:00Z</dcterms:created>
  <dcterms:modified xsi:type="dcterms:W3CDTF">2015-09-02T06:49:00Z</dcterms:modified>
</cp:coreProperties>
</file>