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1ED7" w:rsidRPr="00D61ED7" w:rsidRDefault="00D61ED7">
      <w:pPr>
        <w:rPr>
          <w:i/>
        </w:rPr>
      </w:pPr>
      <w:r w:rsidRPr="00D61ED7">
        <w:rPr>
          <w:i/>
        </w:rPr>
        <w:t>Source of Data and Classification</w:t>
      </w:r>
    </w:p>
    <w:tbl>
      <w:tblPr>
        <w:tblW w:w="9390" w:type="dxa"/>
        <w:tblInd w:w="93" w:type="dxa"/>
        <w:tblLook w:val="04A0" w:firstRow="1" w:lastRow="0" w:firstColumn="1" w:lastColumn="0" w:noHBand="0" w:noVBand="1"/>
      </w:tblPr>
      <w:tblGrid>
        <w:gridCol w:w="9390"/>
      </w:tblGrid>
      <w:tr w:rsidR="00D61ED7" w:rsidRPr="00D61ED7" w:rsidTr="00D61ED7">
        <w:trPr>
          <w:trHeight w:val="300"/>
        </w:trPr>
        <w:tc>
          <w:tcPr>
            <w:tcW w:w="9390" w:type="dxa"/>
            <w:tcBorders>
              <w:top w:val="nil"/>
              <w:left w:val="nil"/>
              <w:bottom w:val="nil"/>
              <w:right w:val="nil"/>
            </w:tcBorders>
            <w:shd w:val="clear" w:color="auto" w:fill="auto"/>
            <w:noWrap/>
            <w:vAlign w:val="center"/>
            <w:hideMark/>
          </w:tcPr>
          <w:p w:rsidR="00D61ED7" w:rsidRPr="00D61ED7" w:rsidRDefault="00D61ED7" w:rsidP="00D61ED7">
            <w:pPr>
              <w:spacing w:after="0" w:line="240" w:lineRule="auto"/>
              <w:jc w:val="both"/>
              <w:rPr>
                <w:rFonts w:ascii="Calibri" w:eastAsia="Times New Roman" w:hAnsi="Calibri" w:cs="Times New Roman"/>
                <w:color w:val="000000"/>
              </w:rPr>
            </w:pPr>
            <w:r w:rsidRPr="00D61ED7">
              <w:rPr>
                <w:rFonts w:ascii="Calibri" w:eastAsia="Times New Roman" w:hAnsi="Calibri" w:cs="Times New Roman"/>
                <w:color w:val="000000"/>
              </w:rPr>
              <w:t>This data set includes the following external debt ratios:</w:t>
            </w:r>
          </w:p>
        </w:tc>
      </w:tr>
      <w:tr w:rsidR="00D61ED7" w:rsidRPr="00D61ED7" w:rsidTr="00D61ED7">
        <w:trPr>
          <w:trHeight w:val="300"/>
        </w:trPr>
        <w:tc>
          <w:tcPr>
            <w:tcW w:w="9390" w:type="dxa"/>
            <w:tcBorders>
              <w:top w:val="nil"/>
              <w:left w:val="nil"/>
              <w:bottom w:val="nil"/>
              <w:right w:val="nil"/>
            </w:tcBorders>
            <w:shd w:val="clear" w:color="auto" w:fill="auto"/>
            <w:noWrap/>
            <w:vAlign w:val="center"/>
            <w:hideMark/>
          </w:tcPr>
          <w:p w:rsidR="00D61ED7" w:rsidRPr="00D61ED7" w:rsidRDefault="00D61ED7" w:rsidP="00D61ED7">
            <w:pPr>
              <w:spacing w:after="0" w:line="240" w:lineRule="auto"/>
              <w:jc w:val="both"/>
              <w:rPr>
                <w:rFonts w:ascii="Calibri" w:eastAsia="Times New Roman" w:hAnsi="Calibri" w:cs="Times New Roman"/>
                <w:color w:val="000000"/>
              </w:rPr>
            </w:pPr>
          </w:p>
        </w:tc>
      </w:tr>
      <w:tr w:rsidR="00D61ED7" w:rsidRPr="00D61ED7" w:rsidTr="00D61ED7">
        <w:trPr>
          <w:trHeight w:val="300"/>
        </w:trPr>
        <w:tc>
          <w:tcPr>
            <w:tcW w:w="9390" w:type="dxa"/>
            <w:tcBorders>
              <w:top w:val="nil"/>
              <w:left w:val="nil"/>
              <w:bottom w:val="nil"/>
              <w:right w:val="nil"/>
            </w:tcBorders>
            <w:shd w:val="clear" w:color="auto" w:fill="auto"/>
            <w:noWrap/>
            <w:vAlign w:val="center"/>
            <w:hideMark/>
          </w:tcPr>
          <w:p w:rsidR="00D61ED7" w:rsidRPr="00D61ED7" w:rsidRDefault="00D61ED7" w:rsidP="00D61ED7">
            <w:pPr>
              <w:spacing w:after="0" w:line="240" w:lineRule="auto"/>
              <w:jc w:val="both"/>
              <w:rPr>
                <w:rFonts w:ascii="Symbol" w:eastAsia="Times New Roman" w:hAnsi="Symbol" w:cs="Times New Roman"/>
                <w:color w:val="000000"/>
                <w:sz w:val="20"/>
                <w:szCs w:val="20"/>
              </w:rPr>
            </w:pPr>
            <w:r w:rsidRPr="00D61ED7">
              <w:rPr>
                <w:rFonts w:ascii="Symbol" w:eastAsia="Times New Roman" w:hAnsi="Symbol" w:cs="Times New Roman"/>
                <w:color w:val="000000"/>
                <w:sz w:val="20"/>
                <w:szCs w:val="20"/>
              </w:rPr>
              <w:t></w:t>
            </w:r>
            <w:r w:rsidRPr="00D61ED7">
              <w:rPr>
                <w:rFonts w:ascii="Times New Roman" w:eastAsia="Times New Roman" w:hAnsi="Times New Roman" w:cs="Times New Roman"/>
                <w:color w:val="000000"/>
                <w:sz w:val="14"/>
                <w:szCs w:val="14"/>
              </w:rPr>
              <w:t xml:space="preserve">         </w:t>
            </w:r>
            <w:r w:rsidRPr="00D61ED7">
              <w:rPr>
                <w:rFonts w:ascii="Calibri" w:eastAsia="Times New Roman" w:hAnsi="Calibri" w:cs="Times New Roman"/>
                <w:color w:val="000000"/>
              </w:rPr>
              <w:t xml:space="preserve">Debt Service Burden to Export Shipments </w:t>
            </w:r>
          </w:p>
        </w:tc>
      </w:tr>
      <w:tr w:rsidR="00D61ED7" w:rsidRPr="00D61ED7" w:rsidTr="00D61ED7">
        <w:trPr>
          <w:trHeight w:val="600"/>
        </w:trPr>
        <w:tc>
          <w:tcPr>
            <w:tcW w:w="9390" w:type="dxa"/>
            <w:tcBorders>
              <w:top w:val="nil"/>
              <w:left w:val="nil"/>
              <w:bottom w:val="nil"/>
              <w:right w:val="nil"/>
            </w:tcBorders>
            <w:shd w:val="clear" w:color="auto" w:fill="auto"/>
            <w:noWrap/>
            <w:vAlign w:val="center"/>
            <w:hideMark/>
          </w:tcPr>
          <w:p w:rsidR="00D61ED7" w:rsidRPr="00D61ED7" w:rsidRDefault="00D61ED7" w:rsidP="00D61ED7">
            <w:pPr>
              <w:spacing w:after="0" w:line="240" w:lineRule="auto"/>
              <w:jc w:val="both"/>
              <w:rPr>
                <w:rFonts w:ascii="Symbol" w:eastAsia="Times New Roman" w:hAnsi="Symbol" w:cs="Times New Roman"/>
                <w:color w:val="000000"/>
                <w:sz w:val="20"/>
                <w:szCs w:val="20"/>
              </w:rPr>
            </w:pPr>
            <w:r w:rsidRPr="00D61ED7">
              <w:rPr>
                <w:rFonts w:ascii="Symbol" w:eastAsia="Times New Roman" w:hAnsi="Symbol" w:cs="Times New Roman"/>
                <w:color w:val="000000"/>
                <w:sz w:val="20"/>
                <w:szCs w:val="20"/>
              </w:rPr>
              <w:t></w:t>
            </w:r>
            <w:r w:rsidRPr="00D61ED7">
              <w:rPr>
                <w:rFonts w:ascii="Times New Roman" w:eastAsia="Times New Roman" w:hAnsi="Times New Roman" w:cs="Times New Roman"/>
                <w:color w:val="000000"/>
                <w:sz w:val="14"/>
                <w:szCs w:val="14"/>
              </w:rPr>
              <w:t xml:space="preserve">         </w:t>
            </w:r>
            <w:r w:rsidRPr="00D61ED7">
              <w:rPr>
                <w:rFonts w:ascii="Calibri" w:eastAsia="Times New Roman" w:hAnsi="Calibri" w:cs="Times New Roman"/>
                <w:color w:val="000000"/>
              </w:rPr>
              <w:t xml:space="preserve">Debt Service Burden to Exports of Goods, and Receipts from Services &amp; Primary Income </w:t>
            </w:r>
          </w:p>
        </w:tc>
      </w:tr>
      <w:tr w:rsidR="00D61ED7" w:rsidRPr="00D61ED7" w:rsidTr="00D61ED7">
        <w:trPr>
          <w:trHeight w:val="300"/>
        </w:trPr>
        <w:tc>
          <w:tcPr>
            <w:tcW w:w="9390" w:type="dxa"/>
            <w:tcBorders>
              <w:top w:val="nil"/>
              <w:left w:val="nil"/>
              <w:bottom w:val="nil"/>
              <w:right w:val="nil"/>
            </w:tcBorders>
            <w:shd w:val="clear" w:color="auto" w:fill="auto"/>
            <w:noWrap/>
            <w:vAlign w:val="center"/>
            <w:hideMark/>
          </w:tcPr>
          <w:p w:rsidR="00D61ED7" w:rsidRPr="00D61ED7" w:rsidRDefault="00D61ED7" w:rsidP="00D61ED7">
            <w:pPr>
              <w:spacing w:after="0" w:line="240" w:lineRule="auto"/>
              <w:jc w:val="both"/>
              <w:rPr>
                <w:rFonts w:ascii="Symbol" w:eastAsia="Times New Roman" w:hAnsi="Symbol" w:cs="Times New Roman"/>
                <w:color w:val="000000"/>
                <w:sz w:val="20"/>
                <w:szCs w:val="20"/>
              </w:rPr>
            </w:pPr>
            <w:r w:rsidRPr="00D61ED7">
              <w:rPr>
                <w:rFonts w:ascii="Symbol" w:eastAsia="Times New Roman" w:hAnsi="Symbol" w:cs="Times New Roman"/>
                <w:color w:val="000000"/>
                <w:sz w:val="20"/>
                <w:szCs w:val="20"/>
              </w:rPr>
              <w:t></w:t>
            </w:r>
            <w:r w:rsidRPr="00D61ED7">
              <w:rPr>
                <w:rFonts w:ascii="Times New Roman" w:eastAsia="Times New Roman" w:hAnsi="Times New Roman" w:cs="Times New Roman"/>
                <w:color w:val="000000"/>
                <w:sz w:val="14"/>
                <w:szCs w:val="14"/>
              </w:rPr>
              <w:t xml:space="preserve">         </w:t>
            </w:r>
            <w:r w:rsidRPr="00D61ED7">
              <w:rPr>
                <w:rFonts w:ascii="Calibri" w:eastAsia="Times New Roman" w:hAnsi="Calibri" w:cs="Times New Roman"/>
                <w:color w:val="000000"/>
              </w:rPr>
              <w:t>Debt Service Burden to Current Account Receipts</w:t>
            </w:r>
          </w:p>
        </w:tc>
      </w:tr>
      <w:tr w:rsidR="00D61ED7" w:rsidRPr="00D61ED7" w:rsidTr="00D61ED7">
        <w:trPr>
          <w:trHeight w:val="300"/>
        </w:trPr>
        <w:tc>
          <w:tcPr>
            <w:tcW w:w="9390" w:type="dxa"/>
            <w:tcBorders>
              <w:top w:val="nil"/>
              <w:left w:val="nil"/>
              <w:bottom w:val="nil"/>
              <w:right w:val="nil"/>
            </w:tcBorders>
            <w:shd w:val="clear" w:color="auto" w:fill="auto"/>
            <w:noWrap/>
            <w:vAlign w:val="center"/>
            <w:hideMark/>
          </w:tcPr>
          <w:p w:rsidR="00D61ED7" w:rsidRPr="00D61ED7" w:rsidRDefault="00D61ED7" w:rsidP="00D61ED7">
            <w:pPr>
              <w:spacing w:after="0" w:line="240" w:lineRule="auto"/>
              <w:jc w:val="both"/>
              <w:rPr>
                <w:rFonts w:ascii="Symbol" w:eastAsia="Times New Roman" w:hAnsi="Symbol" w:cs="Times New Roman"/>
                <w:color w:val="000000"/>
                <w:sz w:val="20"/>
                <w:szCs w:val="20"/>
              </w:rPr>
            </w:pPr>
            <w:r w:rsidRPr="00D61ED7">
              <w:rPr>
                <w:rFonts w:ascii="Symbol" w:eastAsia="Times New Roman" w:hAnsi="Symbol" w:cs="Times New Roman"/>
                <w:color w:val="000000"/>
                <w:sz w:val="20"/>
                <w:szCs w:val="20"/>
              </w:rPr>
              <w:t></w:t>
            </w:r>
            <w:r w:rsidRPr="00D61ED7">
              <w:rPr>
                <w:rFonts w:ascii="Times New Roman" w:eastAsia="Times New Roman" w:hAnsi="Times New Roman" w:cs="Times New Roman"/>
                <w:color w:val="000000"/>
                <w:sz w:val="14"/>
                <w:szCs w:val="14"/>
              </w:rPr>
              <w:t xml:space="preserve">         </w:t>
            </w:r>
            <w:r w:rsidRPr="00D61ED7">
              <w:rPr>
                <w:rFonts w:ascii="Calibri" w:eastAsia="Times New Roman" w:hAnsi="Calibri" w:cs="Times New Roman"/>
                <w:color w:val="000000"/>
              </w:rPr>
              <w:t>Debt Service Burden to Gross National Income</w:t>
            </w:r>
          </w:p>
        </w:tc>
      </w:tr>
      <w:tr w:rsidR="00D61ED7" w:rsidRPr="00D61ED7" w:rsidTr="00D61ED7">
        <w:trPr>
          <w:trHeight w:val="300"/>
        </w:trPr>
        <w:tc>
          <w:tcPr>
            <w:tcW w:w="9390" w:type="dxa"/>
            <w:tcBorders>
              <w:top w:val="nil"/>
              <w:left w:val="nil"/>
              <w:bottom w:val="nil"/>
              <w:right w:val="nil"/>
            </w:tcBorders>
            <w:shd w:val="clear" w:color="auto" w:fill="auto"/>
            <w:noWrap/>
            <w:vAlign w:val="center"/>
            <w:hideMark/>
          </w:tcPr>
          <w:p w:rsidR="00D61ED7" w:rsidRPr="00D61ED7" w:rsidRDefault="00D61ED7" w:rsidP="00D61ED7">
            <w:pPr>
              <w:spacing w:after="0" w:line="240" w:lineRule="auto"/>
              <w:jc w:val="both"/>
              <w:rPr>
                <w:rFonts w:ascii="Symbol" w:eastAsia="Times New Roman" w:hAnsi="Symbol" w:cs="Times New Roman"/>
                <w:color w:val="000000"/>
                <w:sz w:val="20"/>
                <w:szCs w:val="20"/>
              </w:rPr>
            </w:pPr>
            <w:r w:rsidRPr="00D61ED7">
              <w:rPr>
                <w:rFonts w:ascii="Symbol" w:eastAsia="Times New Roman" w:hAnsi="Symbol" w:cs="Times New Roman"/>
                <w:color w:val="000000"/>
                <w:sz w:val="20"/>
                <w:szCs w:val="20"/>
              </w:rPr>
              <w:t></w:t>
            </w:r>
            <w:r w:rsidRPr="00D61ED7">
              <w:rPr>
                <w:rFonts w:ascii="Times New Roman" w:eastAsia="Times New Roman" w:hAnsi="Times New Roman" w:cs="Times New Roman"/>
                <w:color w:val="000000"/>
                <w:sz w:val="14"/>
                <w:szCs w:val="14"/>
              </w:rPr>
              <w:t xml:space="preserve">         </w:t>
            </w:r>
            <w:r w:rsidRPr="00D61ED7">
              <w:rPr>
                <w:rFonts w:ascii="Calibri" w:eastAsia="Times New Roman" w:hAnsi="Calibri" w:cs="Times New Roman"/>
                <w:color w:val="000000"/>
              </w:rPr>
              <w:t>Debt Service Burden to Gross Domestic Product</w:t>
            </w:r>
          </w:p>
        </w:tc>
      </w:tr>
      <w:tr w:rsidR="00D61ED7" w:rsidRPr="00D61ED7" w:rsidTr="00D61ED7">
        <w:trPr>
          <w:trHeight w:val="300"/>
        </w:trPr>
        <w:tc>
          <w:tcPr>
            <w:tcW w:w="9390" w:type="dxa"/>
            <w:tcBorders>
              <w:top w:val="nil"/>
              <w:left w:val="nil"/>
              <w:bottom w:val="nil"/>
              <w:right w:val="nil"/>
            </w:tcBorders>
            <w:shd w:val="clear" w:color="auto" w:fill="auto"/>
            <w:noWrap/>
            <w:vAlign w:val="center"/>
            <w:hideMark/>
          </w:tcPr>
          <w:p w:rsidR="00D61ED7" w:rsidRPr="00D61ED7" w:rsidRDefault="00D61ED7" w:rsidP="00D61ED7">
            <w:pPr>
              <w:spacing w:after="0" w:line="240" w:lineRule="auto"/>
              <w:jc w:val="both"/>
              <w:rPr>
                <w:rFonts w:ascii="Symbol" w:eastAsia="Times New Roman" w:hAnsi="Symbol" w:cs="Times New Roman"/>
                <w:color w:val="000000"/>
                <w:sz w:val="20"/>
                <w:szCs w:val="20"/>
              </w:rPr>
            </w:pPr>
            <w:r w:rsidRPr="00D61ED7">
              <w:rPr>
                <w:rFonts w:ascii="Symbol" w:eastAsia="Times New Roman" w:hAnsi="Symbol" w:cs="Times New Roman"/>
                <w:color w:val="000000"/>
                <w:sz w:val="20"/>
                <w:szCs w:val="20"/>
              </w:rPr>
              <w:t></w:t>
            </w:r>
            <w:r w:rsidRPr="00D61ED7">
              <w:rPr>
                <w:rFonts w:ascii="Times New Roman" w:eastAsia="Times New Roman" w:hAnsi="Times New Roman" w:cs="Times New Roman"/>
                <w:color w:val="000000"/>
                <w:sz w:val="14"/>
                <w:szCs w:val="14"/>
              </w:rPr>
              <w:t xml:space="preserve">         </w:t>
            </w:r>
            <w:r w:rsidRPr="00D61ED7">
              <w:rPr>
                <w:rFonts w:ascii="Calibri" w:eastAsia="Times New Roman" w:hAnsi="Calibri" w:cs="Times New Roman"/>
                <w:color w:val="000000"/>
              </w:rPr>
              <w:t>External Debt to Gross National Income</w:t>
            </w:r>
          </w:p>
        </w:tc>
      </w:tr>
      <w:tr w:rsidR="00D61ED7" w:rsidRPr="00D61ED7" w:rsidTr="00D61ED7">
        <w:trPr>
          <w:trHeight w:val="300"/>
        </w:trPr>
        <w:tc>
          <w:tcPr>
            <w:tcW w:w="9390" w:type="dxa"/>
            <w:tcBorders>
              <w:top w:val="nil"/>
              <w:left w:val="nil"/>
              <w:bottom w:val="nil"/>
              <w:right w:val="nil"/>
            </w:tcBorders>
            <w:shd w:val="clear" w:color="auto" w:fill="auto"/>
            <w:noWrap/>
            <w:vAlign w:val="center"/>
            <w:hideMark/>
          </w:tcPr>
          <w:p w:rsidR="00D61ED7" w:rsidRPr="00D61ED7" w:rsidRDefault="00D61ED7" w:rsidP="00D61ED7">
            <w:pPr>
              <w:spacing w:after="0" w:line="240" w:lineRule="auto"/>
              <w:jc w:val="both"/>
              <w:rPr>
                <w:rFonts w:ascii="Symbol" w:eastAsia="Times New Roman" w:hAnsi="Symbol" w:cs="Times New Roman"/>
                <w:color w:val="000000"/>
                <w:sz w:val="20"/>
                <w:szCs w:val="20"/>
              </w:rPr>
            </w:pPr>
            <w:r w:rsidRPr="00D61ED7">
              <w:rPr>
                <w:rFonts w:ascii="Symbol" w:eastAsia="Times New Roman" w:hAnsi="Symbol" w:cs="Times New Roman"/>
                <w:color w:val="000000"/>
                <w:sz w:val="20"/>
                <w:szCs w:val="20"/>
              </w:rPr>
              <w:t></w:t>
            </w:r>
            <w:r w:rsidRPr="00D61ED7">
              <w:rPr>
                <w:rFonts w:ascii="Times New Roman" w:eastAsia="Times New Roman" w:hAnsi="Times New Roman" w:cs="Times New Roman"/>
                <w:color w:val="000000"/>
                <w:sz w:val="14"/>
                <w:szCs w:val="14"/>
              </w:rPr>
              <w:t xml:space="preserve">         </w:t>
            </w:r>
            <w:r w:rsidRPr="00D61ED7">
              <w:rPr>
                <w:rFonts w:ascii="Calibri" w:eastAsia="Times New Roman" w:hAnsi="Calibri" w:cs="Times New Roman"/>
                <w:color w:val="000000"/>
              </w:rPr>
              <w:t>External Debt to Gross Domestic Product</w:t>
            </w:r>
          </w:p>
        </w:tc>
      </w:tr>
      <w:tr w:rsidR="00D61ED7" w:rsidRPr="00D61ED7" w:rsidTr="00D61ED7">
        <w:trPr>
          <w:trHeight w:val="600"/>
        </w:trPr>
        <w:tc>
          <w:tcPr>
            <w:tcW w:w="9390" w:type="dxa"/>
            <w:tcBorders>
              <w:top w:val="nil"/>
              <w:left w:val="nil"/>
              <w:bottom w:val="nil"/>
              <w:right w:val="nil"/>
            </w:tcBorders>
            <w:shd w:val="clear" w:color="auto" w:fill="auto"/>
            <w:noWrap/>
            <w:vAlign w:val="center"/>
            <w:hideMark/>
          </w:tcPr>
          <w:p w:rsidR="00D61ED7" w:rsidRPr="00D61ED7" w:rsidRDefault="00D61ED7" w:rsidP="00D61ED7">
            <w:pPr>
              <w:spacing w:after="0" w:line="240" w:lineRule="auto"/>
              <w:jc w:val="both"/>
              <w:rPr>
                <w:rFonts w:ascii="Symbol" w:eastAsia="Times New Roman" w:hAnsi="Symbol" w:cs="Times New Roman"/>
                <w:color w:val="000000"/>
                <w:sz w:val="20"/>
                <w:szCs w:val="20"/>
              </w:rPr>
            </w:pPr>
            <w:r w:rsidRPr="00D61ED7">
              <w:rPr>
                <w:rFonts w:ascii="Symbol" w:eastAsia="Times New Roman" w:hAnsi="Symbol" w:cs="Times New Roman"/>
                <w:color w:val="000000"/>
                <w:sz w:val="20"/>
                <w:szCs w:val="20"/>
              </w:rPr>
              <w:t></w:t>
            </w:r>
            <w:r w:rsidRPr="00D61ED7">
              <w:rPr>
                <w:rFonts w:ascii="Times New Roman" w:eastAsia="Times New Roman" w:hAnsi="Times New Roman" w:cs="Times New Roman"/>
                <w:color w:val="000000"/>
                <w:sz w:val="14"/>
                <w:szCs w:val="14"/>
              </w:rPr>
              <w:t xml:space="preserve">         </w:t>
            </w:r>
            <w:r w:rsidRPr="00D61ED7">
              <w:rPr>
                <w:rFonts w:ascii="Calibri" w:eastAsia="Times New Roman" w:hAnsi="Calibri" w:cs="Times New Roman"/>
                <w:color w:val="000000"/>
              </w:rPr>
              <w:t>Public Sector External Debt to Gross Domestic Product</w:t>
            </w:r>
          </w:p>
        </w:tc>
      </w:tr>
      <w:tr w:rsidR="00D61ED7" w:rsidRPr="00D61ED7" w:rsidTr="00D61ED7">
        <w:trPr>
          <w:trHeight w:val="600"/>
        </w:trPr>
        <w:tc>
          <w:tcPr>
            <w:tcW w:w="9390" w:type="dxa"/>
            <w:tcBorders>
              <w:top w:val="nil"/>
              <w:left w:val="nil"/>
              <w:bottom w:val="nil"/>
              <w:right w:val="nil"/>
            </w:tcBorders>
            <w:shd w:val="clear" w:color="auto" w:fill="auto"/>
            <w:noWrap/>
            <w:vAlign w:val="center"/>
            <w:hideMark/>
          </w:tcPr>
          <w:p w:rsidR="00D61ED7" w:rsidRPr="00D61ED7" w:rsidRDefault="00D61ED7" w:rsidP="00D61ED7">
            <w:pPr>
              <w:spacing w:after="0" w:line="240" w:lineRule="auto"/>
              <w:jc w:val="both"/>
              <w:rPr>
                <w:rFonts w:ascii="Symbol" w:eastAsia="Times New Roman" w:hAnsi="Symbol" w:cs="Times New Roman"/>
                <w:color w:val="000000"/>
                <w:sz w:val="20"/>
                <w:szCs w:val="20"/>
              </w:rPr>
            </w:pPr>
            <w:r w:rsidRPr="00D61ED7">
              <w:rPr>
                <w:rFonts w:ascii="Symbol" w:eastAsia="Times New Roman" w:hAnsi="Symbol" w:cs="Times New Roman"/>
                <w:color w:val="000000"/>
                <w:sz w:val="20"/>
                <w:szCs w:val="20"/>
              </w:rPr>
              <w:t></w:t>
            </w:r>
            <w:r w:rsidRPr="00D61ED7">
              <w:rPr>
                <w:rFonts w:ascii="Times New Roman" w:eastAsia="Times New Roman" w:hAnsi="Times New Roman" w:cs="Times New Roman"/>
                <w:color w:val="000000"/>
                <w:sz w:val="14"/>
                <w:szCs w:val="14"/>
              </w:rPr>
              <w:t xml:space="preserve">         </w:t>
            </w:r>
            <w:r w:rsidRPr="00D61ED7">
              <w:rPr>
                <w:rFonts w:ascii="Calibri" w:eastAsia="Times New Roman" w:hAnsi="Calibri" w:cs="Times New Roman"/>
                <w:color w:val="000000"/>
              </w:rPr>
              <w:t>Private Sector External Debt to Gross Domestic Product</w:t>
            </w:r>
          </w:p>
        </w:tc>
      </w:tr>
      <w:tr w:rsidR="00D61ED7" w:rsidRPr="00D61ED7" w:rsidTr="00D61ED7">
        <w:trPr>
          <w:trHeight w:val="300"/>
        </w:trPr>
        <w:tc>
          <w:tcPr>
            <w:tcW w:w="9390" w:type="dxa"/>
            <w:tcBorders>
              <w:top w:val="nil"/>
              <w:left w:val="nil"/>
              <w:bottom w:val="nil"/>
              <w:right w:val="nil"/>
            </w:tcBorders>
            <w:shd w:val="clear" w:color="auto" w:fill="auto"/>
            <w:noWrap/>
            <w:vAlign w:val="center"/>
            <w:hideMark/>
          </w:tcPr>
          <w:p w:rsidR="00D61ED7" w:rsidRPr="00D61ED7" w:rsidRDefault="00D61ED7" w:rsidP="00D61ED7">
            <w:pPr>
              <w:spacing w:after="0" w:line="240" w:lineRule="auto"/>
              <w:jc w:val="both"/>
              <w:rPr>
                <w:rFonts w:ascii="Symbol" w:eastAsia="Times New Roman" w:hAnsi="Symbol" w:cs="Times New Roman"/>
                <w:color w:val="000000"/>
                <w:sz w:val="20"/>
                <w:szCs w:val="20"/>
              </w:rPr>
            </w:pPr>
            <w:r w:rsidRPr="00D61ED7">
              <w:rPr>
                <w:rFonts w:ascii="Symbol" w:eastAsia="Times New Roman" w:hAnsi="Symbol" w:cs="Times New Roman"/>
                <w:color w:val="000000"/>
                <w:sz w:val="20"/>
                <w:szCs w:val="20"/>
              </w:rPr>
              <w:t></w:t>
            </w:r>
            <w:r w:rsidRPr="00D61ED7">
              <w:rPr>
                <w:rFonts w:ascii="Times New Roman" w:eastAsia="Times New Roman" w:hAnsi="Times New Roman" w:cs="Times New Roman"/>
                <w:color w:val="000000"/>
                <w:sz w:val="14"/>
                <w:szCs w:val="14"/>
              </w:rPr>
              <w:t xml:space="preserve">         </w:t>
            </w:r>
            <w:r w:rsidRPr="00D61ED7">
              <w:rPr>
                <w:rFonts w:ascii="Calibri" w:eastAsia="Times New Roman" w:hAnsi="Calibri" w:cs="Times New Roman"/>
                <w:color w:val="000000"/>
              </w:rPr>
              <w:t>Gross International Reserves to Debt Service Burden</w:t>
            </w:r>
          </w:p>
        </w:tc>
      </w:tr>
      <w:tr w:rsidR="00D61ED7" w:rsidRPr="00D61ED7" w:rsidTr="00D61ED7">
        <w:trPr>
          <w:trHeight w:val="300"/>
        </w:trPr>
        <w:tc>
          <w:tcPr>
            <w:tcW w:w="9390" w:type="dxa"/>
            <w:tcBorders>
              <w:top w:val="nil"/>
              <w:left w:val="nil"/>
              <w:bottom w:val="nil"/>
              <w:right w:val="nil"/>
            </w:tcBorders>
            <w:shd w:val="clear" w:color="auto" w:fill="auto"/>
            <w:noWrap/>
            <w:vAlign w:val="center"/>
            <w:hideMark/>
          </w:tcPr>
          <w:p w:rsidR="00D61ED7" w:rsidRPr="00D61ED7" w:rsidRDefault="00D61ED7" w:rsidP="00D61ED7">
            <w:pPr>
              <w:spacing w:after="0" w:line="240" w:lineRule="auto"/>
              <w:rPr>
                <w:rFonts w:ascii="Calibri" w:eastAsia="Times New Roman" w:hAnsi="Calibri" w:cs="Times New Roman"/>
                <w:color w:val="000000"/>
              </w:rPr>
            </w:pPr>
          </w:p>
        </w:tc>
      </w:tr>
      <w:tr w:rsidR="00D61ED7" w:rsidRPr="00D61ED7" w:rsidTr="00D61ED7">
        <w:trPr>
          <w:trHeight w:val="600"/>
        </w:trPr>
        <w:tc>
          <w:tcPr>
            <w:tcW w:w="9390" w:type="dxa"/>
            <w:tcBorders>
              <w:top w:val="nil"/>
              <w:left w:val="nil"/>
              <w:bottom w:val="nil"/>
              <w:right w:val="nil"/>
            </w:tcBorders>
            <w:shd w:val="clear" w:color="auto" w:fill="auto"/>
            <w:noWrap/>
            <w:vAlign w:val="center"/>
            <w:hideMark/>
          </w:tcPr>
          <w:p w:rsidR="00D61ED7" w:rsidRPr="00D61ED7" w:rsidRDefault="00D61ED7" w:rsidP="00D61ED7">
            <w:pPr>
              <w:spacing w:after="0" w:line="240" w:lineRule="auto"/>
              <w:jc w:val="both"/>
              <w:rPr>
                <w:rFonts w:ascii="Calibri" w:eastAsia="Times New Roman" w:hAnsi="Calibri" w:cs="Times New Roman"/>
                <w:color w:val="000000"/>
              </w:rPr>
            </w:pPr>
            <w:r w:rsidRPr="00D61ED7">
              <w:rPr>
                <w:rFonts w:ascii="Calibri" w:eastAsia="Times New Roman" w:hAnsi="Calibri" w:cs="Times New Roman"/>
                <w:color w:val="000000"/>
              </w:rPr>
              <w:t>In addition, it also shows the levels of the indicators that are used for the computation of the ratios:</w:t>
            </w:r>
          </w:p>
        </w:tc>
      </w:tr>
      <w:tr w:rsidR="00D61ED7" w:rsidRPr="00D61ED7" w:rsidTr="00D61ED7">
        <w:trPr>
          <w:trHeight w:val="300"/>
        </w:trPr>
        <w:tc>
          <w:tcPr>
            <w:tcW w:w="9390" w:type="dxa"/>
            <w:tcBorders>
              <w:top w:val="nil"/>
              <w:left w:val="nil"/>
              <w:bottom w:val="nil"/>
              <w:right w:val="nil"/>
            </w:tcBorders>
            <w:shd w:val="clear" w:color="auto" w:fill="auto"/>
            <w:noWrap/>
            <w:vAlign w:val="center"/>
            <w:hideMark/>
          </w:tcPr>
          <w:p w:rsidR="00D61ED7" w:rsidRPr="00D61ED7" w:rsidRDefault="00D61ED7" w:rsidP="00D61ED7">
            <w:pPr>
              <w:spacing w:after="0" w:line="240" w:lineRule="auto"/>
              <w:jc w:val="both"/>
              <w:rPr>
                <w:rFonts w:ascii="Calibri" w:eastAsia="Times New Roman" w:hAnsi="Calibri" w:cs="Times New Roman"/>
                <w:color w:val="000000"/>
              </w:rPr>
            </w:pPr>
          </w:p>
        </w:tc>
      </w:tr>
      <w:tr w:rsidR="00D61ED7" w:rsidRPr="00D61ED7" w:rsidTr="00D61ED7">
        <w:trPr>
          <w:trHeight w:val="300"/>
        </w:trPr>
        <w:tc>
          <w:tcPr>
            <w:tcW w:w="9390" w:type="dxa"/>
            <w:tcBorders>
              <w:top w:val="nil"/>
              <w:left w:val="nil"/>
              <w:bottom w:val="nil"/>
              <w:right w:val="nil"/>
            </w:tcBorders>
            <w:shd w:val="clear" w:color="auto" w:fill="auto"/>
            <w:noWrap/>
            <w:vAlign w:val="center"/>
            <w:hideMark/>
          </w:tcPr>
          <w:p w:rsidR="00D61ED7" w:rsidRPr="00D61ED7" w:rsidRDefault="00D61ED7" w:rsidP="00D61ED7">
            <w:pPr>
              <w:spacing w:after="0" w:line="240" w:lineRule="auto"/>
              <w:jc w:val="both"/>
              <w:rPr>
                <w:rFonts w:ascii="Symbol" w:eastAsia="Times New Roman" w:hAnsi="Symbol" w:cs="Times New Roman"/>
                <w:color w:val="000000"/>
                <w:sz w:val="20"/>
                <w:szCs w:val="20"/>
              </w:rPr>
            </w:pPr>
            <w:r w:rsidRPr="00D61ED7">
              <w:rPr>
                <w:rFonts w:ascii="Symbol" w:eastAsia="Times New Roman" w:hAnsi="Symbol" w:cs="Times New Roman"/>
                <w:color w:val="000000"/>
                <w:sz w:val="20"/>
                <w:szCs w:val="20"/>
              </w:rPr>
              <w:t></w:t>
            </w:r>
            <w:r w:rsidRPr="00D61ED7">
              <w:rPr>
                <w:rFonts w:ascii="Times New Roman" w:eastAsia="Times New Roman" w:hAnsi="Times New Roman" w:cs="Times New Roman"/>
                <w:color w:val="000000"/>
                <w:sz w:val="14"/>
                <w:szCs w:val="14"/>
              </w:rPr>
              <w:t xml:space="preserve">         </w:t>
            </w:r>
            <w:r w:rsidRPr="00D61ED7">
              <w:rPr>
                <w:rFonts w:ascii="Calibri" w:eastAsia="Times New Roman" w:hAnsi="Calibri" w:cs="Times New Roman"/>
                <w:color w:val="000000"/>
              </w:rPr>
              <w:t>Debt Service Burden</w:t>
            </w:r>
          </w:p>
        </w:tc>
      </w:tr>
      <w:tr w:rsidR="00D61ED7" w:rsidRPr="00D61ED7" w:rsidTr="00D61ED7">
        <w:trPr>
          <w:trHeight w:val="300"/>
        </w:trPr>
        <w:tc>
          <w:tcPr>
            <w:tcW w:w="9390" w:type="dxa"/>
            <w:tcBorders>
              <w:top w:val="nil"/>
              <w:left w:val="nil"/>
              <w:bottom w:val="nil"/>
              <w:right w:val="nil"/>
            </w:tcBorders>
            <w:shd w:val="clear" w:color="auto" w:fill="auto"/>
            <w:noWrap/>
            <w:vAlign w:val="center"/>
            <w:hideMark/>
          </w:tcPr>
          <w:p w:rsidR="00D61ED7" w:rsidRPr="00D61ED7" w:rsidRDefault="00D61ED7" w:rsidP="00D61ED7">
            <w:pPr>
              <w:spacing w:after="0" w:line="240" w:lineRule="auto"/>
              <w:jc w:val="both"/>
              <w:rPr>
                <w:rFonts w:ascii="Symbol" w:eastAsia="Times New Roman" w:hAnsi="Symbol" w:cs="Times New Roman"/>
                <w:color w:val="000000"/>
                <w:sz w:val="20"/>
                <w:szCs w:val="20"/>
              </w:rPr>
            </w:pPr>
            <w:r w:rsidRPr="00D61ED7">
              <w:rPr>
                <w:rFonts w:ascii="Symbol" w:eastAsia="Times New Roman" w:hAnsi="Symbol" w:cs="Times New Roman"/>
                <w:color w:val="000000"/>
                <w:sz w:val="20"/>
                <w:szCs w:val="20"/>
              </w:rPr>
              <w:t></w:t>
            </w:r>
            <w:r w:rsidRPr="00D61ED7">
              <w:rPr>
                <w:rFonts w:ascii="Times New Roman" w:eastAsia="Times New Roman" w:hAnsi="Times New Roman" w:cs="Times New Roman"/>
                <w:color w:val="000000"/>
                <w:sz w:val="14"/>
                <w:szCs w:val="14"/>
              </w:rPr>
              <w:t xml:space="preserve">         </w:t>
            </w:r>
            <w:r w:rsidRPr="00D61ED7">
              <w:rPr>
                <w:rFonts w:ascii="Calibri" w:eastAsia="Times New Roman" w:hAnsi="Calibri" w:cs="Times New Roman"/>
                <w:color w:val="000000"/>
              </w:rPr>
              <w:t>Total</w:t>
            </w:r>
          </w:p>
        </w:tc>
      </w:tr>
      <w:tr w:rsidR="00D61ED7" w:rsidRPr="00D61ED7" w:rsidTr="00D61ED7">
        <w:trPr>
          <w:trHeight w:val="300"/>
        </w:trPr>
        <w:tc>
          <w:tcPr>
            <w:tcW w:w="9390" w:type="dxa"/>
            <w:tcBorders>
              <w:top w:val="nil"/>
              <w:left w:val="nil"/>
              <w:bottom w:val="nil"/>
              <w:right w:val="nil"/>
            </w:tcBorders>
            <w:shd w:val="clear" w:color="auto" w:fill="auto"/>
            <w:noWrap/>
            <w:vAlign w:val="center"/>
            <w:hideMark/>
          </w:tcPr>
          <w:p w:rsidR="00D61ED7" w:rsidRPr="00D61ED7" w:rsidRDefault="00D61ED7" w:rsidP="00D61ED7">
            <w:pPr>
              <w:spacing w:after="0" w:line="240" w:lineRule="auto"/>
              <w:jc w:val="both"/>
              <w:rPr>
                <w:rFonts w:ascii="Symbol" w:eastAsia="Times New Roman" w:hAnsi="Symbol" w:cs="Times New Roman"/>
                <w:color w:val="000000"/>
                <w:sz w:val="20"/>
                <w:szCs w:val="20"/>
              </w:rPr>
            </w:pPr>
            <w:r w:rsidRPr="00D61ED7">
              <w:rPr>
                <w:rFonts w:ascii="Symbol" w:eastAsia="Times New Roman" w:hAnsi="Symbol" w:cs="Times New Roman"/>
                <w:color w:val="000000"/>
                <w:sz w:val="20"/>
                <w:szCs w:val="20"/>
              </w:rPr>
              <w:t></w:t>
            </w:r>
            <w:r w:rsidRPr="00D61ED7">
              <w:rPr>
                <w:rFonts w:ascii="Times New Roman" w:eastAsia="Times New Roman" w:hAnsi="Times New Roman" w:cs="Times New Roman"/>
                <w:color w:val="000000"/>
                <w:sz w:val="14"/>
                <w:szCs w:val="14"/>
              </w:rPr>
              <w:t xml:space="preserve">         </w:t>
            </w:r>
            <w:r w:rsidRPr="00D61ED7">
              <w:rPr>
                <w:rFonts w:ascii="Calibri" w:eastAsia="Times New Roman" w:hAnsi="Calibri" w:cs="Times New Roman"/>
                <w:color w:val="000000"/>
              </w:rPr>
              <w:t>Principal</w:t>
            </w:r>
          </w:p>
        </w:tc>
      </w:tr>
      <w:tr w:rsidR="00D61ED7" w:rsidRPr="00D61ED7" w:rsidTr="00D61ED7">
        <w:trPr>
          <w:trHeight w:val="300"/>
        </w:trPr>
        <w:tc>
          <w:tcPr>
            <w:tcW w:w="9390" w:type="dxa"/>
            <w:tcBorders>
              <w:top w:val="nil"/>
              <w:left w:val="nil"/>
              <w:bottom w:val="nil"/>
              <w:right w:val="nil"/>
            </w:tcBorders>
            <w:shd w:val="clear" w:color="auto" w:fill="auto"/>
            <w:noWrap/>
            <w:vAlign w:val="center"/>
            <w:hideMark/>
          </w:tcPr>
          <w:p w:rsidR="00D61ED7" w:rsidRPr="00D61ED7" w:rsidRDefault="00D61ED7" w:rsidP="00D61ED7">
            <w:pPr>
              <w:spacing w:after="0" w:line="240" w:lineRule="auto"/>
              <w:jc w:val="both"/>
              <w:rPr>
                <w:rFonts w:ascii="Symbol" w:eastAsia="Times New Roman" w:hAnsi="Symbol" w:cs="Times New Roman"/>
                <w:color w:val="000000"/>
                <w:sz w:val="20"/>
                <w:szCs w:val="20"/>
              </w:rPr>
            </w:pPr>
            <w:r w:rsidRPr="00D61ED7">
              <w:rPr>
                <w:rFonts w:ascii="Symbol" w:eastAsia="Times New Roman" w:hAnsi="Symbol" w:cs="Times New Roman"/>
                <w:color w:val="000000"/>
                <w:sz w:val="20"/>
                <w:szCs w:val="20"/>
              </w:rPr>
              <w:t></w:t>
            </w:r>
            <w:r w:rsidRPr="00D61ED7">
              <w:rPr>
                <w:rFonts w:ascii="Times New Roman" w:eastAsia="Times New Roman" w:hAnsi="Times New Roman" w:cs="Times New Roman"/>
                <w:color w:val="000000"/>
                <w:sz w:val="14"/>
                <w:szCs w:val="14"/>
              </w:rPr>
              <w:t xml:space="preserve">         </w:t>
            </w:r>
            <w:r w:rsidRPr="00D61ED7">
              <w:rPr>
                <w:rFonts w:ascii="Calibri" w:eastAsia="Times New Roman" w:hAnsi="Calibri" w:cs="Times New Roman"/>
                <w:color w:val="000000"/>
              </w:rPr>
              <w:t>Interest</w:t>
            </w:r>
          </w:p>
        </w:tc>
      </w:tr>
      <w:tr w:rsidR="00D61ED7" w:rsidRPr="00D61ED7" w:rsidTr="00D61ED7">
        <w:trPr>
          <w:trHeight w:val="300"/>
        </w:trPr>
        <w:tc>
          <w:tcPr>
            <w:tcW w:w="9390" w:type="dxa"/>
            <w:tcBorders>
              <w:top w:val="nil"/>
              <w:left w:val="nil"/>
              <w:bottom w:val="nil"/>
              <w:right w:val="nil"/>
            </w:tcBorders>
            <w:shd w:val="clear" w:color="auto" w:fill="auto"/>
            <w:noWrap/>
            <w:vAlign w:val="center"/>
            <w:hideMark/>
          </w:tcPr>
          <w:p w:rsidR="00D61ED7" w:rsidRPr="00D61ED7" w:rsidRDefault="00D61ED7" w:rsidP="00D61ED7">
            <w:pPr>
              <w:spacing w:after="0" w:line="240" w:lineRule="auto"/>
              <w:jc w:val="both"/>
              <w:rPr>
                <w:rFonts w:ascii="Symbol" w:eastAsia="Times New Roman" w:hAnsi="Symbol" w:cs="Times New Roman"/>
                <w:color w:val="000000"/>
                <w:sz w:val="20"/>
                <w:szCs w:val="20"/>
              </w:rPr>
            </w:pPr>
            <w:r w:rsidRPr="00D61ED7">
              <w:rPr>
                <w:rFonts w:ascii="Symbol" w:eastAsia="Times New Roman" w:hAnsi="Symbol" w:cs="Times New Roman"/>
                <w:color w:val="000000"/>
                <w:sz w:val="20"/>
                <w:szCs w:val="20"/>
              </w:rPr>
              <w:t></w:t>
            </w:r>
            <w:r w:rsidRPr="00D61ED7">
              <w:rPr>
                <w:rFonts w:ascii="Times New Roman" w:eastAsia="Times New Roman" w:hAnsi="Times New Roman" w:cs="Times New Roman"/>
                <w:color w:val="000000"/>
                <w:sz w:val="14"/>
                <w:szCs w:val="14"/>
              </w:rPr>
              <w:t xml:space="preserve">         </w:t>
            </w:r>
            <w:r w:rsidRPr="00D61ED7">
              <w:rPr>
                <w:rFonts w:ascii="Calibri" w:eastAsia="Times New Roman" w:hAnsi="Calibri" w:cs="Times New Roman"/>
                <w:color w:val="000000"/>
              </w:rPr>
              <w:t xml:space="preserve">Export Shipments </w:t>
            </w:r>
          </w:p>
        </w:tc>
      </w:tr>
      <w:tr w:rsidR="00D61ED7" w:rsidRPr="00D61ED7" w:rsidTr="00D61ED7">
        <w:trPr>
          <w:trHeight w:val="600"/>
        </w:trPr>
        <w:tc>
          <w:tcPr>
            <w:tcW w:w="9390" w:type="dxa"/>
            <w:tcBorders>
              <w:top w:val="nil"/>
              <w:left w:val="nil"/>
              <w:bottom w:val="nil"/>
              <w:right w:val="nil"/>
            </w:tcBorders>
            <w:shd w:val="clear" w:color="auto" w:fill="auto"/>
            <w:noWrap/>
            <w:vAlign w:val="center"/>
            <w:hideMark/>
          </w:tcPr>
          <w:p w:rsidR="00D61ED7" w:rsidRPr="00D61ED7" w:rsidRDefault="00D61ED7" w:rsidP="00D61ED7">
            <w:pPr>
              <w:spacing w:after="0" w:line="240" w:lineRule="auto"/>
              <w:jc w:val="both"/>
              <w:rPr>
                <w:rFonts w:ascii="Symbol" w:eastAsia="Times New Roman" w:hAnsi="Symbol" w:cs="Times New Roman"/>
                <w:color w:val="000000"/>
                <w:sz w:val="20"/>
                <w:szCs w:val="20"/>
              </w:rPr>
            </w:pPr>
            <w:r w:rsidRPr="00D61ED7">
              <w:rPr>
                <w:rFonts w:ascii="Symbol" w:eastAsia="Times New Roman" w:hAnsi="Symbol" w:cs="Times New Roman"/>
                <w:color w:val="000000"/>
                <w:sz w:val="20"/>
                <w:szCs w:val="20"/>
              </w:rPr>
              <w:t></w:t>
            </w:r>
            <w:r w:rsidRPr="00D61ED7">
              <w:rPr>
                <w:rFonts w:ascii="Times New Roman" w:eastAsia="Times New Roman" w:hAnsi="Times New Roman" w:cs="Times New Roman"/>
                <w:color w:val="000000"/>
                <w:sz w:val="14"/>
                <w:szCs w:val="14"/>
              </w:rPr>
              <w:t xml:space="preserve">         </w:t>
            </w:r>
            <w:r w:rsidRPr="00D61ED7">
              <w:rPr>
                <w:rFonts w:ascii="Calibri" w:eastAsia="Times New Roman" w:hAnsi="Calibri" w:cs="Times New Roman"/>
                <w:color w:val="000000"/>
              </w:rPr>
              <w:t>Exports of Goods, and Receipts from Services &amp; Primary Income</w:t>
            </w:r>
          </w:p>
        </w:tc>
      </w:tr>
      <w:tr w:rsidR="00D61ED7" w:rsidRPr="00D61ED7" w:rsidTr="00D61ED7">
        <w:trPr>
          <w:trHeight w:val="300"/>
        </w:trPr>
        <w:tc>
          <w:tcPr>
            <w:tcW w:w="9390" w:type="dxa"/>
            <w:tcBorders>
              <w:top w:val="nil"/>
              <w:left w:val="nil"/>
              <w:bottom w:val="nil"/>
              <w:right w:val="nil"/>
            </w:tcBorders>
            <w:shd w:val="clear" w:color="auto" w:fill="auto"/>
            <w:noWrap/>
            <w:vAlign w:val="center"/>
            <w:hideMark/>
          </w:tcPr>
          <w:p w:rsidR="00D61ED7" w:rsidRPr="00D61ED7" w:rsidRDefault="00D61ED7" w:rsidP="00D61ED7">
            <w:pPr>
              <w:spacing w:after="0" w:line="240" w:lineRule="auto"/>
              <w:jc w:val="both"/>
              <w:rPr>
                <w:rFonts w:ascii="Symbol" w:eastAsia="Times New Roman" w:hAnsi="Symbol" w:cs="Times New Roman"/>
                <w:color w:val="000000"/>
                <w:sz w:val="20"/>
                <w:szCs w:val="20"/>
              </w:rPr>
            </w:pPr>
            <w:r w:rsidRPr="00D61ED7">
              <w:rPr>
                <w:rFonts w:ascii="Symbol" w:eastAsia="Times New Roman" w:hAnsi="Symbol" w:cs="Times New Roman"/>
                <w:color w:val="000000"/>
                <w:sz w:val="20"/>
                <w:szCs w:val="20"/>
              </w:rPr>
              <w:t></w:t>
            </w:r>
            <w:r w:rsidRPr="00D61ED7">
              <w:rPr>
                <w:rFonts w:ascii="Times New Roman" w:eastAsia="Times New Roman" w:hAnsi="Times New Roman" w:cs="Times New Roman"/>
                <w:color w:val="000000"/>
                <w:sz w:val="14"/>
                <w:szCs w:val="14"/>
              </w:rPr>
              <w:t xml:space="preserve">         </w:t>
            </w:r>
            <w:r w:rsidRPr="00D61ED7">
              <w:rPr>
                <w:rFonts w:ascii="Calibri" w:eastAsia="Times New Roman" w:hAnsi="Calibri" w:cs="Times New Roman"/>
                <w:color w:val="000000"/>
              </w:rPr>
              <w:t>Current Account Receipts</w:t>
            </w:r>
          </w:p>
        </w:tc>
      </w:tr>
      <w:tr w:rsidR="00D61ED7" w:rsidRPr="00D61ED7" w:rsidTr="00D61ED7">
        <w:trPr>
          <w:trHeight w:val="300"/>
        </w:trPr>
        <w:tc>
          <w:tcPr>
            <w:tcW w:w="9390" w:type="dxa"/>
            <w:tcBorders>
              <w:top w:val="nil"/>
              <w:left w:val="nil"/>
              <w:bottom w:val="nil"/>
              <w:right w:val="nil"/>
            </w:tcBorders>
            <w:shd w:val="clear" w:color="auto" w:fill="auto"/>
            <w:noWrap/>
            <w:vAlign w:val="center"/>
            <w:hideMark/>
          </w:tcPr>
          <w:p w:rsidR="00D61ED7" w:rsidRPr="00D61ED7" w:rsidRDefault="00D61ED7" w:rsidP="00D61ED7">
            <w:pPr>
              <w:spacing w:after="0" w:line="240" w:lineRule="auto"/>
              <w:jc w:val="both"/>
              <w:rPr>
                <w:rFonts w:ascii="Symbol" w:eastAsia="Times New Roman" w:hAnsi="Symbol" w:cs="Times New Roman"/>
                <w:color w:val="000000"/>
                <w:sz w:val="20"/>
                <w:szCs w:val="20"/>
              </w:rPr>
            </w:pPr>
            <w:r w:rsidRPr="00D61ED7">
              <w:rPr>
                <w:rFonts w:ascii="Symbol" w:eastAsia="Times New Roman" w:hAnsi="Symbol" w:cs="Times New Roman"/>
                <w:color w:val="000000"/>
                <w:sz w:val="20"/>
                <w:szCs w:val="20"/>
              </w:rPr>
              <w:t></w:t>
            </w:r>
            <w:r w:rsidRPr="00D61ED7">
              <w:rPr>
                <w:rFonts w:ascii="Times New Roman" w:eastAsia="Times New Roman" w:hAnsi="Times New Roman" w:cs="Times New Roman"/>
                <w:color w:val="000000"/>
                <w:sz w:val="14"/>
                <w:szCs w:val="14"/>
              </w:rPr>
              <w:t xml:space="preserve">         </w:t>
            </w:r>
            <w:r w:rsidRPr="00D61ED7">
              <w:rPr>
                <w:rFonts w:ascii="Calibri" w:eastAsia="Times New Roman" w:hAnsi="Calibri" w:cs="Times New Roman"/>
                <w:color w:val="000000"/>
              </w:rPr>
              <w:t>Gross National Income</w:t>
            </w:r>
          </w:p>
        </w:tc>
      </w:tr>
      <w:tr w:rsidR="00D61ED7" w:rsidRPr="00D61ED7" w:rsidTr="00D61ED7">
        <w:trPr>
          <w:trHeight w:val="300"/>
        </w:trPr>
        <w:tc>
          <w:tcPr>
            <w:tcW w:w="9390" w:type="dxa"/>
            <w:tcBorders>
              <w:top w:val="nil"/>
              <w:left w:val="nil"/>
              <w:bottom w:val="nil"/>
              <w:right w:val="nil"/>
            </w:tcBorders>
            <w:shd w:val="clear" w:color="auto" w:fill="auto"/>
            <w:noWrap/>
            <w:vAlign w:val="center"/>
            <w:hideMark/>
          </w:tcPr>
          <w:p w:rsidR="00D61ED7" w:rsidRPr="00D61ED7" w:rsidRDefault="00D61ED7" w:rsidP="00D61ED7">
            <w:pPr>
              <w:spacing w:after="0" w:line="240" w:lineRule="auto"/>
              <w:jc w:val="both"/>
              <w:rPr>
                <w:rFonts w:ascii="Symbol" w:eastAsia="Times New Roman" w:hAnsi="Symbol" w:cs="Times New Roman"/>
                <w:color w:val="000000"/>
                <w:sz w:val="20"/>
                <w:szCs w:val="20"/>
              </w:rPr>
            </w:pPr>
            <w:r w:rsidRPr="00D61ED7">
              <w:rPr>
                <w:rFonts w:ascii="Symbol" w:eastAsia="Times New Roman" w:hAnsi="Symbol" w:cs="Times New Roman"/>
                <w:color w:val="000000"/>
                <w:sz w:val="20"/>
                <w:szCs w:val="20"/>
              </w:rPr>
              <w:t></w:t>
            </w:r>
            <w:r w:rsidRPr="00D61ED7">
              <w:rPr>
                <w:rFonts w:ascii="Times New Roman" w:eastAsia="Times New Roman" w:hAnsi="Times New Roman" w:cs="Times New Roman"/>
                <w:color w:val="000000"/>
                <w:sz w:val="14"/>
                <w:szCs w:val="14"/>
              </w:rPr>
              <w:t xml:space="preserve">         </w:t>
            </w:r>
            <w:r w:rsidRPr="00D61ED7">
              <w:rPr>
                <w:rFonts w:ascii="Calibri" w:eastAsia="Times New Roman" w:hAnsi="Calibri" w:cs="Times New Roman"/>
                <w:color w:val="000000"/>
              </w:rPr>
              <w:t>Gross Domestic Product</w:t>
            </w:r>
          </w:p>
        </w:tc>
      </w:tr>
      <w:tr w:rsidR="00D61ED7" w:rsidRPr="00D61ED7" w:rsidTr="00D61ED7">
        <w:trPr>
          <w:trHeight w:val="300"/>
        </w:trPr>
        <w:tc>
          <w:tcPr>
            <w:tcW w:w="9390" w:type="dxa"/>
            <w:tcBorders>
              <w:top w:val="nil"/>
              <w:left w:val="nil"/>
              <w:bottom w:val="nil"/>
              <w:right w:val="nil"/>
            </w:tcBorders>
            <w:shd w:val="clear" w:color="auto" w:fill="auto"/>
            <w:noWrap/>
            <w:vAlign w:val="center"/>
            <w:hideMark/>
          </w:tcPr>
          <w:p w:rsidR="00D61ED7" w:rsidRPr="00D61ED7" w:rsidRDefault="00D61ED7" w:rsidP="00D61ED7">
            <w:pPr>
              <w:spacing w:after="0" w:line="240" w:lineRule="auto"/>
              <w:jc w:val="both"/>
              <w:rPr>
                <w:rFonts w:ascii="Symbol" w:eastAsia="Times New Roman" w:hAnsi="Symbol" w:cs="Times New Roman"/>
                <w:color w:val="000000"/>
                <w:sz w:val="20"/>
                <w:szCs w:val="20"/>
              </w:rPr>
            </w:pPr>
            <w:r w:rsidRPr="00D61ED7">
              <w:rPr>
                <w:rFonts w:ascii="Symbol" w:eastAsia="Times New Roman" w:hAnsi="Symbol" w:cs="Times New Roman"/>
                <w:color w:val="000000"/>
                <w:sz w:val="20"/>
                <w:szCs w:val="20"/>
              </w:rPr>
              <w:t></w:t>
            </w:r>
            <w:r w:rsidRPr="00D61ED7">
              <w:rPr>
                <w:rFonts w:ascii="Times New Roman" w:eastAsia="Times New Roman" w:hAnsi="Times New Roman" w:cs="Times New Roman"/>
                <w:color w:val="000000"/>
                <w:sz w:val="14"/>
                <w:szCs w:val="14"/>
              </w:rPr>
              <w:t xml:space="preserve">         </w:t>
            </w:r>
            <w:r w:rsidRPr="00D61ED7">
              <w:rPr>
                <w:rFonts w:ascii="Calibri" w:eastAsia="Times New Roman" w:hAnsi="Calibri" w:cs="Times New Roman"/>
                <w:color w:val="000000"/>
              </w:rPr>
              <w:t>External Debt</w:t>
            </w:r>
          </w:p>
        </w:tc>
      </w:tr>
      <w:tr w:rsidR="00D61ED7" w:rsidRPr="00D61ED7" w:rsidTr="00D61ED7">
        <w:trPr>
          <w:trHeight w:val="300"/>
        </w:trPr>
        <w:tc>
          <w:tcPr>
            <w:tcW w:w="9390" w:type="dxa"/>
            <w:tcBorders>
              <w:top w:val="nil"/>
              <w:left w:val="nil"/>
              <w:bottom w:val="nil"/>
              <w:right w:val="nil"/>
            </w:tcBorders>
            <w:shd w:val="clear" w:color="auto" w:fill="auto"/>
            <w:noWrap/>
            <w:vAlign w:val="center"/>
            <w:hideMark/>
          </w:tcPr>
          <w:p w:rsidR="00D61ED7" w:rsidRPr="00D61ED7" w:rsidRDefault="00D61ED7" w:rsidP="00D61ED7">
            <w:pPr>
              <w:spacing w:after="0" w:line="240" w:lineRule="auto"/>
              <w:jc w:val="both"/>
              <w:rPr>
                <w:rFonts w:ascii="Symbol" w:eastAsia="Times New Roman" w:hAnsi="Symbol" w:cs="Times New Roman"/>
                <w:color w:val="000000"/>
                <w:sz w:val="20"/>
                <w:szCs w:val="20"/>
              </w:rPr>
            </w:pPr>
            <w:r w:rsidRPr="00D61ED7">
              <w:rPr>
                <w:rFonts w:ascii="Symbol" w:eastAsia="Times New Roman" w:hAnsi="Symbol" w:cs="Times New Roman"/>
                <w:color w:val="000000"/>
                <w:sz w:val="20"/>
                <w:szCs w:val="20"/>
              </w:rPr>
              <w:t></w:t>
            </w:r>
            <w:r w:rsidRPr="00D61ED7">
              <w:rPr>
                <w:rFonts w:ascii="Times New Roman" w:eastAsia="Times New Roman" w:hAnsi="Times New Roman" w:cs="Times New Roman"/>
                <w:color w:val="000000"/>
                <w:sz w:val="14"/>
                <w:szCs w:val="14"/>
              </w:rPr>
              <w:t xml:space="preserve">         </w:t>
            </w:r>
            <w:r w:rsidRPr="00D61ED7">
              <w:rPr>
                <w:rFonts w:ascii="Calibri" w:eastAsia="Times New Roman" w:hAnsi="Calibri" w:cs="Times New Roman"/>
                <w:color w:val="000000"/>
              </w:rPr>
              <w:t>Public Sector</w:t>
            </w:r>
          </w:p>
        </w:tc>
      </w:tr>
      <w:tr w:rsidR="00D61ED7" w:rsidRPr="00D61ED7" w:rsidTr="00D61ED7">
        <w:trPr>
          <w:trHeight w:val="300"/>
        </w:trPr>
        <w:tc>
          <w:tcPr>
            <w:tcW w:w="9390" w:type="dxa"/>
            <w:tcBorders>
              <w:top w:val="nil"/>
              <w:left w:val="nil"/>
              <w:bottom w:val="nil"/>
              <w:right w:val="nil"/>
            </w:tcBorders>
            <w:shd w:val="clear" w:color="auto" w:fill="auto"/>
            <w:noWrap/>
            <w:vAlign w:val="center"/>
            <w:hideMark/>
          </w:tcPr>
          <w:p w:rsidR="00D61ED7" w:rsidRPr="00D61ED7" w:rsidRDefault="00D61ED7" w:rsidP="00D61ED7">
            <w:pPr>
              <w:spacing w:after="0" w:line="240" w:lineRule="auto"/>
              <w:jc w:val="both"/>
              <w:rPr>
                <w:rFonts w:ascii="Symbol" w:eastAsia="Times New Roman" w:hAnsi="Symbol" w:cs="Times New Roman"/>
                <w:color w:val="000000"/>
                <w:sz w:val="20"/>
                <w:szCs w:val="20"/>
              </w:rPr>
            </w:pPr>
            <w:r w:rsidRPr="00D61ED7">
              <w:rPr>
                <w:rFonts w:ascii="Symbol" w:eastAsia="Times New Roman" w:hAnsi="Symbol" w:cs="Times New Roman"/>
                <w:color w:val="000000"/>
                <w:sz w:val="20"/>
                <w:szCs w:val="20"/>
              </w:rPr>
              <w:t></w:t>
            </w:r>
            <w:r w:rsidRPr="00D61ED7">
              <w:rPr>
                <w:rFonts w:ascii="Times New Roman" w:eastAsia="Times New Roman" w:hAnsi="Times New Roman" w:cs="Times New Roman"/>
                <w:color w:val="000000"/>
                <w:sz w:val="14"/>
                <w:szCs w:val="14"/>
              </w:rPr>
              <w:t xml:space="preserve">         </w:t>
            </w:r>
            <w:r w:rsidRPr="00D61ED7">
              <w:rPr>
                <w:rFonts w:ascii="Calibri" w:eastAsia="Times New Roman" w:hAnsi="Calibri" w:cs="Times New Roman"/>
                <w:color w:val="000000"/>
              </w:rPr>
              <w:t>Private Sector</w:t>
            </w:r>
          </w:p>
        </w:tc>
      </w:tr>
      <w:tr w:rsidR="00D61ED7" w:rsidRPr="00D61ED7" w:rsidTr="00D61ED7">
        <w:trPr>
          <w:trHeight w:val="300"/>
        </w:trPr>
        <w:tc>
          <w:tcPr>
            <w:tcW w:w="9390" w:type="dxa"/>
            <w:tcBorders>
              <w:top w:val="nil"/>
              <w:left w:val="nil"/>
              <w:bottom w:val="nil"/>
              <w:right w:val="nil"/>
            </w:tcBorders>
            <w:shd w:val="clear" w:color="auto" w:fill="auto"/>
            <w:noWrap/>
            <w:vAlign w:val="center"/>
            <w:hideMark/>
          </w:tcPr>
          <w:p w:rsidR="00D61ED7" w:rsidRPr="00D61ED7" w:rsidRDefault="00D61ED7" w:rsidP="00D61ED7">
            <w:pPr>
              <w:spacing w:after="0" w:line="240" w:lineRule="auto"/>
              <w:jc w:val="both"/>
              <w:rPr>
                <w:rFonts w:ascii="Symbol" w:eastAsia="Times New Roman" w:hAnsi="Symbol" w:cs="Times New Roman"/>
                <w:color w:val="000000"/>
                <w:sz w:val="20"/>
                <w:szCs w:val="20"/>
              </w:rPr>
            </w:pPr>
            <w:r w:rsidRPr="00D61ED7">
              <w:rPr>
                <w:rFonts w:ascii="Symbol" w:eastAsia="Times New Roman" w:hAnsi="Symbol" w:cs="Times New Roman"/>
                <w:color w:val="000000"/>
                <w:sz w:val="20"/>
                <w:szCs w:val="20"/>
              </w:rPr>
              <w:t></w:t>
            </w:r>
            <w:r w:rsidRPr="00D61ED7">
              <w:rPr>
                <w:rFonts w:ascii="Times New Roman" w:eastAsia="Times New Roman" w:hAnsi="Times New Roman" w:cs="Times New Roman"/>
                <w:color w:val="000000"/>
                <w:sz w:val="14"/>
                <w:szCs w:val="14"/>
              </w:rPr>
              <w:t xml:space="preserve">         </w:t>
            </w:r>
            <w:r w:rsidRPr="00D61ED7">
              <w:rPr>
                <w:rFonts w:ascii="Calibri" w:eastAsia="Times New Roman" w:hAnsi="Calibri" w:cs="Times New Roman"/>
                <w:color w:val="000000"/>
              </w:rPr>
              <w:t>Gross International Reserves</w:t>
            </w:r>
          </w:p>
        </w:tc>
      </w:tr>
      <w:tr w:rsidR="00D61ED7" w:rsidRPr="00D61ED7" w:rsidTr="00D61ED7">
        <w:trPr>
          <w:trHeight w:val="300"/>
        </w:trPr>
        <w:tc>
          <w:tcPr>
            <w:tcW w:w="9390" w:type="dxa"/>
            <w:tcBorders>
              <w:top w:val="nil"/>
              <w:left w:val="nil"/>
              <w:bottom w:val="nil"/>
              <w:right w:val="nil"/>
            </w:tcBorders>
            <w:shd w:val="clear" w:color="auto" w:fill="auto"/>
            <w:noWrap/>
            <w:vAlign w:val="center"/>
            <w:hideMark/>
          </w:tcPr>
          <w:p w:rsidR="00D61ED7" w:rsidRPr="00D61ED7" w:rsidRDefault="00D61ED7" w:rsidP="00D61ED7">
            <w:pPr>
              <w:spacing w:after="0" w:line="240" w:lineRule="auto"/>
              <w:rPr>
                <w:rFonts w:ascii="Calibri" w:eastAsia="Times New Roman" w:hAnsi="Calibri" w:cs="Times New Roman"/>
                <w:color w:val="000000"/>
              </w:rPr>
            </w:pPr>
          </w:p>
        </w:tc>
      </w:tr>
      <w:tr w:rsidR="00D61ED7" w:rsidRPr="00D61ED7" w:rsidTr="00D61ED7">
        <w:trPr>
          <w:trHeight w:val="300"/>
        </w:trPr>
        <w:tc>
          <w:tcPr>
            <w:tcW w:w="9390" w:type="dxa"/>
            <w:tcBorders>
              <w:top w:val="nil"/>
              <w:left w:val="nil"/>
              <w:bottom w:val="nil"/>
              <w:right w:val="nil"/>
            </w:tcBorders>
            <w:shd w:val="clear" w:color="auto" w:fill="auto"/>
            <w:noWrap/>
            <w:vAlign w:val="center"/>
            <w:hideMark/>
          </w:tcPr>
          <w:p w:rsidR="00D61ED7" w:rsidRPr="00D61ED7" w:rsidRDefault="00D61ED7" w:rsidP="00D61ED7">
            <w:pPr>
              <w:spacing w:after="0" w:line="240" w:lineRule="auto"/>
              <w:jc w:val="both"/>
              <w:rPr>
                <w:rFonts w:ascii="Calibri" w:eastAsia="Times New Roman" w:hAnsi="Calibri" w:cs="Times New Roman"/>
                <w:b/>
                <w:bCs/>
                <w:i/>
                <w:iCs/>
                <w:color w:val="000000"/>
              </w:rPr>
            </w:pPr>
            <w:r w:rsidRPr="00D61ED7">
              <w:rPr>
                <w:rFonts w:ascii="Calibri" w:eastAsia="Times New Roman" w:hAnsi="Calibri" w:cs="Times New Roman"/>
                <w:b/>
                <w:bCs/>
                <w:i/>
                <w:iCs/>
                <w:color w:val="000000"/>
              </w:rPr>
              <w:t>Conformity with standards</w:t>
            </w:r>
          </w:p>
        </w:tc>
      </w:tr>
      <w:tr w:rsidR="00D61ED7" w:rsidRPr="00D61ED7" w:rsidTr="00D61ED7">
        <w:trPr>
          <w:trHeight w:val="300"/>
        </w:trPr>
        <w:tc>
          <w:tcPr>
            <w:tcW w:w="9390" w:type="dxa"/>
            <w:tcBorders>
              <w:top w:val="nil"/>
              <w:left w:val="nil"/>
              <w:bottom w:val="nil"/>
              <w:right w:val="nil"/>
            </w:tcBorders>
            <w:shd w:val="clear" w:color="auto" w:fill="auto"/>
            <w:noWrap/>
            <w:vAlign w:val="center"/>
            <w:hideMark/>
          </w:tcPr>
          <w:p w:rsidR="00D61ED7" w:rsidRPr="00D61ED7" w:rsidRDefault="00D61ED7" w:rsidP="00D61ED7">
            <w:pPr>
              <w:spacing w:after="0" w:line="240" w:lineRule="auto"/>
              <w:jc w:val="both"/>
              <w:rPr>
                <w:rFonts w:ascii="Calibri" w:eastAsia="Times New Roman" w:hAnsi="Calibri" w:cs="Times New Roman"/>
                <w:b/>
                <w:bCs/>
                <w:i/>
                <w:iCs/>
                <w:color w:val="000000"/>
              </w:rPr>
            </w:pPr>
          </w:p>
        </w:tc>
      </w:tr>
      <w:tr w:rsidR="00D61ED7" w:rsidRPr="00D61ED7" w:rsidTr="00D61ED7">
        <w:trPr>
          <w:trHeight w:val="2145"/>
        </w:trPr>
        <w:tc>
          <w:tcPr>
            <w:tcW w:w="9390" w:type="dxa"/>
            <w:tcBorders>
              <w:top w:val="nil"/>
              <w:left w:val="nil"/>
              <w:bottom w:val="nil"/>
              <w:right w:val="nil"/>
            </w:tcBorders>
            <w:shd w:val="clear" w:color="auto" w:fill="auto"/>
            <w:noWrap/>
            <w:vAlign w:val="center"/>
            <w:hideMark/>
          </w:tcPr>
          <w:p w:rsidR="00D61ED7" w:rsidRPr="00D61ED7" w:rsidRDefault="00D61ED7" w:rsidP="00D61ED7">
            <w:pPr>
              <w:spacing w:after="0" w:line="240" w:lineRule="auto"/>
              <w:jc w:val="both"/>
              <w:rPr>
                <w:rFonts w:ascii="Calibri" w:eastAsia="Times New Roman" w:hAnsi="Calibri" w:cs="Times New Roman"/>
                <w:color w:val="000000"/>
              </w:rPr>
            </w:pPr>
            <w:r w:rsidRPr="00D61ED7">
              <w:rPr>
                <w:rFonts w:ascii="Calibri" w:eastAsia="Times New Roman" w:hAnsi="Calibri" w:cs="Times New Roman"/>
                <w:color w:val="000000"/>
              </w:rPr>
              <w:lastRenderedPageBreak/>
              <w:t>The data are generally compiled in accordance with the concepts and methodology set out in the "2014 External Debt Statistics: Guide for Compilers and Users", and the International Monetary Fund's (IMF) Balance of Payments and International Investment Position, Manual 6</w:t>
            </w:r>
            <w:r w:rsidRPr="00D61ED7">
              <w:rPr>
                <w:rFonts w:ascii="Calibri" w:eastAsia="Times New Roman" w:hAnsi="Calibri" w:cs="Times New Roman"/>
                <w:color w:val="000000"/>
                <w:vertAlign w:val="superscript"/>
              </w:rPr>
              <w:t>th</w:t>
            </w:r>
            <w:r w:rsidRPr="00D61ED7">
              <w:rPr>
                <w:rFonts w:ascii="Calibri" w:eastAsia="Times New Roman" w:hAnsi="Calibri" w:cs="Times New Roman"/>
                <w:color w:val="000000"/>
              </w:rPr>
              <w:t xml:space="preserve"> Edition (BPM6) where SDR allocations are treated as long-term foreign exchange liability.</w:t>
            </w:r>
          </w:p>
        </w:tc>
      </w:tr>
      <w:tr w:rsidR="00D61ED7" w:rsidRPr="00D61ED7" w:rsidTr="00D61ED7">
        <w:trPr>
          <w:trHeight w:val="300"/>
        </w:trPr>
        <w:tc>
          <w:tcPr>
            <w:tcW w:w="9390" w:type="dxa"/>
            <w:tcBorders>
              <w:top w:val="nil"/>
              <w:left w:val="nil"/>
              <w:bottom w:val="nil"/>
              <w:right w:val="nil"/>
            </w:tcBorders>
            <w:shd w:val="clear" w:color="auto" w:fill="auto"/>
            <w:noWrap/>
            <w:vAlign w:val="center"/>
            <w:hideMark/>
          </w:tcPr>
          <w:p w:rsidR="00D61ED7" w:rsidRPr="00D61ED7" w:rsidRDefault="00D61ED7" w:rsidP="00D61ED7">
            <w:pPr>
              <w:spacing w:after="0" w:line="240" w:lineRule="auto"/>
              <w:jc w:val="both"/>
              <w:rPr>
                <w:rFonts w:ascii="Calibri" w:eastAsia="Times New Roman" w:hAnsi="Calibri" w:cs="Times New Roman"/>
                <w:i/>
                <w:color w:val="000000"/>
              </w:rPr>
            </w:pPr>
            <w:r w:rsidRPr="00D61ED7">
              <w:rPr>
                <w:rFonts w:ascii="Calibri" w:eastAsia="Times New Roman" w:hAnsi="Calibri" w:cs="Times New Roman"/>
                <w:i/>
                <w:color w:val="000000"/>
              </w:rPr>
              <w:t>Source of Data and Methodology</w:t>
            </w:r>
          </w:p>
        </w:tc>
      </w:tr>
      <w:tr w:rsidR="00D61ED7" w:rsidRPr="00D61ED7" w:rsidTr="00D61ED7">
        <w:trPr>
          <w:trHeight w:val="300"/>
        </w:trPr>
        <w:tc>
          <w:tcPr>
            <w:tcW w:w="9390" w:type="dxa"/>
            <w:tcBorders>
              <w:top w:val="nil"/>
              <w:left w:val="nil"/>
              <w:bottom w:val="nil"/>
              <w:right w:val="nil"/>
            </w:tcBorders>
            <w:shd w:val="clear" w:color="auto" w:fill="auto"/>
            <w:noWrap/>
            <w:vAlign w:val="center"/>
            <w:hideMark/>
          </w:tcPr>
          <w:p w:rsidR="00D61ED7" w:rsidRDefault="00D61ED7" w:rsidP="00D61ED7">
            <w:pPr>
              <w:spacing w:after="0" w:line="240" w:lineRule="auto"/>
              <w:rPr>
                <w:rFonts w:ascii="Calibri" w:eastAsia="Times New Roman" w:hAnsi="Calibri" w:cs="Times New Roman"/>
                <w:b/>
                <w:bCs/>
                <w:i/>
                <w:iCs/>
                <w:color w:val="000000"/>
              </w:rPr>
            </w:pPr>
          </w:p>
          <w:p w:rsidR="00D61ED7" w:rsidRPr="00D61ED7" w:rsidRDefault="00D61ED7" w:rsidP="00D61ED7">
            <w:pPr>
              <w:spacing w:after="0" w:line="240" w:lineRule="auto"/>
              <w:rPr>
                <w:rFonts w:ascii="Calibri" w:eastAsia="Times New Roman" w:hAnsi="Calibri" w:cs="Times New Roman"/>
                <w:b/>
                <w:bCs/>
                <w:i/>
                <w:iCs/>
                <w:color w:val="000000"/>
              </w:rPr>
            </w:pPr>
            <w:r w:rsidRPr="00D61ED7">
              <w:rPr>
                <w:rFonts w:ascii="Calibri" w:eastAsia="Times New Roman" w:hAnsi="Calibri" w:cs="Times New Roman"/>
                <w:b/>
                <w:bCs/>
                <w:i/>
                <w:iCs/>
                <w:color w:val="000000"/>
              </w:rPr>
              <w:t>Data Sources</w:t>
            </w:r>
          </w:p>
        </w:tc>
      </w:tr>
      <w:tr w:rsidR="00D61ED7" w:rsidRPr="00D61ED7" w:rsidTr="00D61ED7">
        <w:trPr>
          <w:trHeight w:val="300"/>
        </w:trPr>
        <w:tc>
          <w:tcPr>
            <w:tcW w:w="9390" w:type="dxa"/>
            <w:tcBorders>
              <w:top w:val="nil"/>
              <w:left w:val="nil"/>
              <w:bottom w:val="nil"/>
              <w:right w:val="nil"/>
            </w:tcBorders>
            <w:shd w:val="clear" w:color="auto" w:fill="auto"/>
            <w:noWrap/>
            <w:vAlign w:val="center"/>
            <w:hideMark/>
          </w:tcPr>
          <w:p w:rsidR="00D61ED7" w:rsidRPr="00D61ED7" w:rsidRDefault="00D61ED7" w:rsidP="00D61ED7">
            <w:pPr>
              <w:spacing w:after="0" w:line="240" w:lineRule="auto"/>
              <w:rPr>
                <w:rFonts w:ascii="Calibri" w:eastAsia="Times New Roman" w:hAnsi="Calibri" w:cs="Times New Roman"/>
                <w:b/>
                <w:bCs/>
                <w:i/>
                <w:iCs/>
                <w:color w:val="000000"/>
              </w:rPr>
            </w:pPr>
          </w:p>
        </w:tc>
      </w:tr>
      <w:tr w:rsidR="00D61ED7" w:rsidRPr="00D61ED7" w:rsidTr="00D61ED7">
        <w:trPr>
          <w:trHeight w:val="300"/>
        </w:trPr>
        <w:tc>
          <w:tcPr>
            <w:tcW w:w="9390" w:type="dxa"/>
            <w:tcBorders>
              <w:top w:val="nil"/>
              <w:left w:val="nil"/>
              <w:bottom w:val="nil"/>
              <w:right w:val="nil"/>
            </w:tcBorders>
            <w:shd w:val="clear" w:color="auto" w:fill="auto"/>
            <w:noWrap/>
            <w:vAlign w:val="center"/>
            <w:hideMark/>
          </w:tcPr>
          <w:p w:rsidR="00D61ED7" w:rsidRPr="00D61ED7" w:rsidRDefault="00D61ED7" w:rsidP="00D61ED7">
            <w:pPr>
              <w:spacing w:after="0" w:line="240" w:lineRule="auto"/>
              <w:rPr>
                <w:rFonts w:ascii="Calibri" w:eastAsia="Times New Roman" w:hAnsi="Calibri" w:cs="Times New Roman"/>
                <w:color w:val="000000"/>
              </w:rPr>
            </w:pPr>
            <w:r w:rsidRPr="00D61ED7">
              <w:rPr>
                <w:rFonts w:ascii="Calibri" w:eastAsia="Times New Roman" w:hAnsi="Calibri" w:cs="Times New Roman"/>
                <w:color w:val="000000"/>
              </w:rPr>
              <w:t>Data on External Debt are provided by the BSP’s International Operations Department (IOD).</w:t>
            </w:r>
          </w:p>
        </w:tc>
      </w:tr>
      <w:tr w:rsidR="00D61ED7" w:rsidRPr="00D61ED7" w:rsidTr="00D61ED7">
        <w:trPr>
          <w:trHeight w:val="300"/>
        </w:trPr>
        <w:tc>
          <w:tcPr>
            <w:tcW w:w="9390" w:type="dxa"/>
            <w:tcBorders>
              <w:top w:val="nil"/>
              <w:left w:val="nil"/>
              <w:bottom w:val="nil"/>
              <w:right w:val="nil"/>
            </w:tcBorders>
            <w:shd w:val="clear" w:color="auto" w:fill="auto"/>
            <w:noWrap/>
            <w:vAlign w:val="center"/>
            <w:hideMark/>
          </w:tcPr>
          <w:p w:rsidR="00D61ED7" w:rsidRPr="00D61ED7" w:rsidRDefault="00D61ED7" w:rsidP="00D61ED7">
            <w:pPr>
              <w:spacing w:after="0" w:line="240" w:lineRule="auto"/>
              <w:rPr>
                <w:rFonts w:ascii="Calibri" w:eastAsia="Times New Roman" w:hAnsi="Calibri" w:cs="Times New Roman"/>
                <w:color w:val="000000"/>
              </w:rPr>
            </w:pPr>
          </w:p>
        </w:tc>
      </w:tr>
      <w:tr w:rsidR="00D61ED7" w:rsidRPr="00D61ED7" w:rsidTr="00D61ED7">
        <w:trPr>
          <w:trHeight w:val="300"/>
        </w:trPr>
        <w:tc>
          <w:tcPr>
            <w:tcW w:w="9390" w:type="dxa"/>
            <w:tcBorders>
              <w:top w:val="nil"/>
              <w:left w:val="nil"/>
              <w:bottom w:val="nil"/>
              <w:right w:val="nil"/>
            </w:tcBorders>
            <w:shd w:val="clear" w:color="auto" w:fill="auto"/>
            <w:noWrap/>
            <w:vAlign w:val="center"/>
            <w:hideMark/>
          </w:tcPr>
          <w:p w:rsidR="00D61ED7" w:rsidRPr="00D61ED7" w:rsidRDefault="00D61ED7" w:rsidP="00D61ED7">
            <w:pPr>
              <w:spacing w:after="0" w:line="240" w:lineRule="auto"/>
              <w:rPr>
                <w:rFonts w:ascii="Calibri" w:eastAsia="Times New Roman" w:hAnsi="Calibri" w:cs="Times New Roman"/>
                <w:b/>
                <w:bCs/>
                <w:i/>
                <w:iCs/>
                <w:color w:val="000000"/>
              </w:rPr>
            </w:pPr>
            <w:r w:rsidRPr="00D61ED7">
              <w:rPr>
                <w:rFonts w:ascii="Calibri" w:eastAsia="Times New Roman" w:hAnsi="Calibri" w:cs="Times New Roman"/>
                <w:b/>
                <w:bCs/>
                <w:i/>
                <w:iCs/>
                <w:color w:val="000000"/>
              </w:rPr>
              <w:t>Definition</w:t>
            </w:r>
          </w:p>
        </w:tc>
      </w:tr>
      <w:tr w:rsidR="00D61ED7" w:rsidRPr="00D61ED7" w:rsidTr="00D61ED7">
        <w:trPr>
          <w:trHeight w:val="300"/>
        </w:trPr>
        <w:tc>
          <w:tcPr>
            <w:tcW w:w="9390" w:type="dxa"/>
            <w:tcBorders>
              <w:top w:val="nil"/>
              <w:left w:val="nil"/>
              <w:bottom w:val="nil"/>
              <w:right w:val="nil"/>
            </w:tcBorders>
            <w:shd w:val="clear" w:color="auto" w:fill="auto"/>
            <w:noWrap/>
            <w:vAlign w:val="center"/>
            <w:hideMark/>
          </w:tcPr>
          <w:p w:rsidR="00D61ED7" w:rsidRPr="00D61ED7" w:rsidRDefault="00D61ED7" w:rsidP="00D61ED7">
            <w:pPr>
              <w:spacing w:after="0" w:line="240" w:lineRule="auto"/>
              <w:jc w:val="both"/>
              <w:rPr>
                <w:rFonts w:ascii="Calibri" w:eastAsia="Times New Roman" w:hAnsi="Calibri" w:cs="Times New Roman"/>
                <w:color w:val="000000"/>
              </w:rPr>
            </w:pPr>
          </w:p>
        </w:tc>
      </w:tr>
      <w:tr w:rsidR="00D61ED7" w:rsidRPr="00D61ED7" w:rsidTr="00D61ED7">
        <w:trPr>
          <w:trHeight w:val="1377"/>
        </w:trPr>
        <w:tc>
          <w:tcPr>
            <w:tcW w:w="9390" w:type="dxa"/>
            <w:tcBorders>
              <w:top w:val="nil"/>
              <w:left w:val="nil"/>
              <w:bottom w:val="nil"/>
              <w:right w:val="nil"/>
            </w:tcBorders>
            <w:shd w:val="clear" w:color="auto" w:fill="auto"/>
            <w:noWrap/>
            <w:vAlign w:val="center"/>
            <w:hideMark/>
          </w:tcPr>
          <w:p w:rsidR="00D61ED7" w:rsidRPr="00D61ED7" w:rsidRDefault="00D61ED7" w:rsidP="00D61ED7">
            <w:pPr>
              <w:spacing w:after="0" w:line="240" w:lineRule="auto"/>
              <w:jc w:val="both"/>
              <w:rPr>
                <w:rFonts w:ascii="Calibri" w:eastAsia="Times New Roman" w:hAnsi="Calibri" w:cs="Times New Roman"/>
                <w:color w:val="000000"/>
              </w:rPr>
            </w:pPr>
            <w:r w:rsidRPr="00D61ED7">
              <w:rPr>
                <w:rFonts w:ascii="Calibri" w:eastAsia="Times New Roman" w:hAnsi="Calibri" w:cs="Times New Roman"/>
                <w:color w:val="000000"/>
              </w:rPr>
              <w:t>The External Debt Statistics Guide defines gross external debt, at any given time, as the outstanding amount of those actual current, and not contingent, liabilities that require payment(s) of principal and/or interest by the debtor at some point(s) in the future and that are owed to non-residents by residents of an economy.</w:t>
            </w:r>
          </w:p>
        </w:tc>
      </w:tr>
      <w:tr w:rsidR="00D61ED7" w:rsidRPr="00D61ED7" w:rsidTr="00D61ED7">
        <w:trPr>
          <w:trHeight w:val="68"/>
        </w:trPr>
        <w:tc>
          <w:tcPr>
            <w:tcW w:w="9390" w:type="dxa"/>
            <w:tcBorders>
              <w:top w:val="nil"/>
              <w:left w:val="nil"/>
              <w:bottom w:val="nil"/>
              <w:right w:val="nil"/>
            </w:tcBorders>
            <w:shd w:val="clear" w:color="auto" w:fill="auto"/>
            <w:noWrap/>
            <w:vAlign w:val="center"/>
            <w:hideMark/>
          </w:tcPr>
          <w:p w:rsidR="00D61ED7" w:rsidRPr="00D61ED7" w:rsidRDefault="00D61ED7" w:rsidP="00D61ED7">
            <w:pPr>
              <w:spacing w:after="0" w:line="240" w:lineRule="auto"/>
              <w:rPr>
                <w:rFonts w:ascii="Calibri" w:eastAsia="Times New Roman" w:hAnsi="Calibri" w:cs="Times New Roman"/>
                <w:color w:val="000000"/>
              </w:rPr>
            </w:pPr>
          </w:p>
        </w:tc>
      </w:tr>
      <w:tr w:rsidR="00D61ED7" w:rsidRPr="00D61ED7" w:rsidTr="00D61ED7">
        <w:trPr>
          <w:trHeight w:val="72"/>
        </w:trPr>
        <w:tc>
          <w:tcPr>
            <w:tcW w:w="9390" w:type="dxa"/>
            <w:tcBorders>
              <w:top w:val="nil"/>
              <w:left w:val="nil"/>
              <w:bottom w:val="nil"/>
              <w:right w:val="nil"/>
            </w:tcBorders>
            <w:shd w:val="clear" w:color="auto" w:fill="auto"/>
            <w:noWrap/>
            <w:vAlign w:val="center"/>
            <w:hideMark/>
          </w:tcPr>
          <w:p w:rsidR="00D61ED7" w:rsidRPr="00D61ED7" w:rsidRDefault="00D61ED7" w:rsidP="00D61ED7">
            <w:pPr>
              <w:spacing w:after="0" w:line="240" w:lineRule="auto"/>
              <w:rPr>
                <w:rFonts w:ascii="Calibri" w:eastAsia="Times New Roman" w:hAnsi="Calibri" w:cs="Times New Roman"/>
                <w:b/>
                <w:bCs/>
                <w:i/>
                <w:iCs/>
                <w:color w:val="000000"/>
              </w:rPr>
            </w:pPr>
          </w:p>
        </w:tc>
      </w:tr>
      <w:tr w:rsidR="00D61ED7" w:rsidRPr="00D61ED7" w:rsidTr="00D61ED7">
        <w:trPr>
          <w:trHeight w:val="135"/>
        </w:trPr>
        <w:tc>
          <w:tcPr>
            <w:tcW w:w="9390" w:type="dxa"/>
            <w:tcBorders>
              <w:top w:val="nil"/>
              <w:left w:val="nil"/>
              <w:bottom w:val="nil"/>
              <w:right w:val="nil"/>
            </w:tcBorders>
            <w:shd w:val="clear" w:color="auto" w:fill="auto"/>
            <w:noWrap/>
            <w:vAlign w:val="center"/>
            <w:hideMark/>
          </w:tcPr>
          <w:p w:rsidR="00D61ED7" w:rsidRPr="00D61ED7" w:rsidRDefault="00D61ED7" w:rsidP="00D61ED7">
            <w:pPr>
              <w:spacing w:after="0" w:line="240" w:lineRule="auto"/>
              <w:rPr>
                <w:rFonts w:ascii="Calibri" w:eastAsia="Times New Roman" w:hAnsi="Calibri" w:cs="Times New Roman"/>
                <w:color w:val="000000"/>
              </w:rPr>
            </w:pPr>
          </w:p>
        </w:tc>
      </w:tr>
      <w:tr w:rsidR="00D61ED7" w:rsidRPr="00D61ED7" w:rsidTr="00D61ED7">
        <w:trPr>
          <w:trHeight w:val="2286"/>
        </w:trPr>
        <w:tc>
          <w:tcPr>
            <w:tcW w:w="9390" w:type="dxa"/>
            <w:tcBorders>
              <w:top w:val="nil"/>
              <w:left w:val="nil"/>
              <w:bottom w:val="nil"/>
              <w:right w:val="nil"/>
            </w:tcBorders>
            <w:shd w:val="clear" w:color="auto" w:fill="auto"/>
            <w:noWrap/>
            <w:vAlign w:val="center"/>
            <w:hideMark/>
          </w:tcPr>
          <w:p w:rsidR="00D61ED7" w:rsidRPr="00D61ED7" w:rsidRDefault="00D61ED7" w:rsidP="00D61ED7">
            <w:pPr>
              <w:spacing w:after="0" w:line="240" w:lineRule="auto"/>
              <w:jc w:val="both"/>
              <w:rPr>
                <w:rFonts w:ascii="Calibri" w:eastAsia="Times New Roman" w:hAnsi="Calibri" w:cs="Times New Roman"/>
                <w:color w:val="000000"/>
              </w:rPr>
            </w:pPr>
            <w:r w:rsidRPr="00D61ED7">
              <w:rPr>
                <w:rFonts w:ascii="Calibri" w:eastAsia="Times New Roman" w:hAnsi="Calibri" w:cs="Times New Roman"/>
                <w:color w:val="000000"/>
              </w:rPr>
              <w:t xml:space="preserve">Covers the entire Philippine economy and all its sectors and institutions.  The external debt monitoring system covers obligations to non-resident creditors denominated in local and foreign currencies. It also includes Hybrid Tier 1 instruments (except participating preferred stocks) issued by government and private banks for capitalization purposes to the extent of amounts held by non-residents which are required to be booked as equity under </w:t>
            </w:r>
            <w:proofErr w:type="spellStart"/>
            <w:r w:rsidRPr="00D61ED7">
              <w:rPr>
                <w:rFonts w:ascii="Calibri" w:eastAsia="Times New Roman" w:hAnsi="Calibri" w:cs="Times New Roman"/>
                <w:color w:val="000000"/>
              </w:rPr>
              <w:t>Bangko</w:t>
            </w:r>
            <w:proofErr w:type="spellEnd"/>
            <w:r w:rsidRPr="00D61ED7">
              <w:rPr>
                <w:rFonts w:ascii="Calibri" w:eastAsia="Times New Roman" w:hAnsi="Calibri" w:cs="Times New Roman"/>
                <w:color w:val="000000"/>
              </w:rPr>
              <w:t xml:space="preserve"> </w:t>
            </w:r>
            <w:proofErr w:type="spellStart"/>
            <w:r w:rsidRPr="00D61ED7">
              <w:rPr>
                <w:rFonts w:ascii="Calibri" w:eastAsia="Times New Roman" w:hAnsi="Calibri" w:cs="Times New Roman"/>
                <w:color w:val="000000"/>
              </w:rPr>
              <w:t>Sentral</w:t>
            </w:r>
            <w:proofErr w:type="spellEnd"/>
            <w:r w:rsidRPr="00D61ED7">
              <w:rPr>
                <w:rFonts w:ascii="Calibri" w:eastAsia="Times New Roman" w:hAnsi="Calibri" w:cs="Times New Roman"/>
                <w:color w:val="000000"/>
              </w:rPr>
              <w:t xml:space="preserve"> ng </w:t>
            </w:r>
            <w:proofErr w:type="spellStart"/>
            <w:r w:rsidRPr="00D61ED7">
              <w:rPr>
                <w:rFonts w:ascii="Calibri" w:eastAsia="Times New Roman" w:hAnsi="Calibri" w:cs="Times New Roman"/>
                <w:color w:val="000000"/>
              </w:rPr>
              <w:t>Pilipinas</w:t>
            </w:r>
            <w:proofErr w:type="spellEnd"/>
            <w:r w:rsidRPr="00D61ED7">
              <w:rPr>
                <w:rFonts w:ascii="Calibri" w:eastAsia="Times New Roman" w:hAnsi="Calibri" w:cs="Times New Roman"/>
                <w:color w:val="000000"/>
              </w:rPr>
              <w:t xml:space="preserve"> (BSP) regulations.</w:t>
            </w:r>
          </w:p>
        </w:tc>
      </w:tr>
      <w:tr w:rsidR="00D61ED7" w:rsidRPr="00D61ED7" w:rsidTr="00D61ED7">
        <w:trPr>
          <w:trHeight w:val="300"/>
        </w:trPr>
        <w:tc>
          <w:tcPr>
            <w:tcW w:w="9390" w:type="dxa"/>
            <w:tcBorders>
              <w:top w:val="nil"/>
              <w:left w:val="nil"/>
              <w:bottom w:val="nil"/>
              <w:right w:val="nil"/>
            </w:tcBorders>
            <w:shd w:val="clear" w:color="auto" w:fill="auto"/>
            <w:noWrap/>
            <w:vAlign w:val="center"/>
            <w:hideMark/>
          </w:tcPr>
          <w:p w:rsidR="00D61ED7" w:rsidRPr="00D61ED7" w:rsidRDefault="00D61ED7" w:rsidP="00D61ED7">
            <w:pPr>
              <w:spacing w:after="0" w:line="240" w:lineRule="auto"/>
              <w:jc w:val="both"/>
              <w:rPr>
                <w:rFonts w:ascii="Calibri" w:eastAsia="Times New Roman" w:hAnsi="Calibri" w:cs="Times New Roman"/>
                <w:color w:val="000000"/>
              </w:rPr>
            </w:pPr>
          </w:p>
        </w:tc>
      </w:tr>
      <w:tr w:rsidR="00D61ED7" w:rsidRPr="00D61ED7" w:rsidTr="00D61ED7">
        <w:trPr>
          <w:trHeight w:val="900"/>
        </w:trPr>
        <w:tc>
          <w:tcPr>
            <w:tcW w:w="9390" w:type="dxa"/>
            <w:tcBorders>
              <w:top w:val="nil"/>
              <w:left w:val="nil"/>
              <w:bottom w:val="nil"/>
              <w:right w:val="nil"/>
            </w:tcBorders>
            <w:shd w:val="clear" w:color="auto" w:fill="auto"/>
            <w:noWrap/>
            <w:vAlign w:val="center"/>
            <w:hideMark/>
          </w:tcPr>
          <w:p w:rsidR="00D61ED7" w:rsidRPr="00D61ED7" w:rsidRDefault="00D61ED7" w:rsidP="00D61ED7">
            <w:pPr>
              <w:spacing w:after="0" w:line="240" w:lineRule="auto"/>
              <w:jc w:val="both"/>
              <w:rPr>
                <w:rFonts w:ascii="Calibri" w:eastAsia="Times New Roman" w:hAnsi="Calibri" w:cs="Times New Roman"/>
                <w:color w:val="000000"/>
              </w:rPr>
            </w:pPr>
            <w:r w:rsidRPr="00D61ED7">
              <w:rPr>
                <w:rFonts w:ascii="Calibri" w:eastAsia="Times New Roman" w:hAnsi="Calibri" w:cs="Times New Roman"/>
                <w:color w:val="000000"/>
              </w:rPr>
              <w:t>Data on the gross external debt are disseminated in millions of US dollars and cover the entire economy of the Philippines.</w:t>
            </w:r>
          </w:p>
        </w:tc>
      </w:tr>
      <w:tr w:rsidR="00D61ED7" w:rsidRPr="00D61ED7" w:rsidTr="00D61ED7">
        <w:trPr>
          <w:trHeight w:val="117"/>
        </w:trPr>
        <w:tc>
          <w:tcPr>
            <w:tcW w:w="9390" w:type="dxa"/>
            <w:tcBorders>
              <w:top w:val="nil"/>
              <w:left w:val="nil"/>
              <w:bottom w:val="nil"/>
              <w:right w:val="nil"/>
            </w:tcBorders>
            <w:shd w:val="clear" w:color="auto" w:fill="auto"/>
            <w:noWrap/>
            <w:vAlign w:val="center"/>
          </w:tcPr>
          <w:p w:rsidR="00D61ED7" w:rsidRPr="00D61ED7" w:rsidRDefault="00D61ED7" w:rsidP="00C656CF">
            <w:pPr>
              <w:spacing w:after="0" w:line="240" w:lineRule="auto"/>
              <w:jc w:val="both"/>
              <w:rPr>
                <w:rFonts w:ascii="Calibri" w:eastAsia="Times New Roman" w:hAnsi="Calibri" w:cs="Times New Roman"/>
                <w:color w:val="000000"/>
              </w:rPr>
            </w:pPr>
          </w:p>
        </w:tc>
      </w:tr>
      <w:tr w:rsidR="00D61ED7" w:rsidRPr="00D61ED7" w:rsidTr="00D61ED7">
        <w:trPr>
          <w:trHeight w:val="68"/>
        </w:trPr>
        <w:tc>
          <w:tcPr>
            <w:tcW w:w="9390" w:type="dxa"/>
            <w:tcBorders>
              <w:top w:val="nil"/>
              <w:left w:val="nil"/>
              <w:bottom w:val="nil"/>
              <w:right w:val="nil"/>
            </w:tcBorders>
            <w:shd w:val="clear" w:color="auto" w:fill="auto"/>
            <w:noWrap/>
            <w:vAlign w:val="center"/>
          </w:tcPr>
          <w:p w:rsidR="00D61ED7" w:rsidRPr="00D61ED7" w:rsidRDefault="00D61ED7" w:rsidP="00C656CF">
            <w:pPr>
              <w:spacing w:after="0" w:line="240" w:lineRule="auto"/>
              <w:jc w:val="both"/>
              <w:rPr>
                <w:rFonts w:ascii="Calibri" w:eastAsia="Times New Roman" w:hAnsi="Calibri" w:cs="Times New Roman"/>
                <w:color w:val="000000"/>
              </w:rPr>
            </w:pPr>
          </w:p>
        </w:tc>
      </w:tr>
      <w:tr w:rsidR="00D61ED7" w:rsidRPr="00D61ED7" w:rsidTr="00D61ED7">
        <w:trPr>
          <w:trHeight w:val="68"/>
        </w:trPr>
        <w:tc>
          <w:tcPr>
            <w:tcW w:w="9390" w:type="dxa"/>
            <w:tcBorders>
              <w:top w:val="nil"/>
              <w:left w:val="nil"/>
              <w:bottom w:val="nil"/>
              <w:right w:val="nil"/>
            </w:tcBorders>
            <w:shd w:val="clear" w:color="auto" w:fill="auto"/>
            <w:noWrap/>
            <w:vAlign w:val="center"/>
          </w:tcPr>
          <w:p w:rsidR="00D61ED7" w:rsidRPr="00D61ED7" w:rsidRDefault="00D61ED7" w:rsidP="00C656CF">
            <w:pPr>
              <w:spacing w:after="0" w:line="240" w:lineRule="auto"/>
              <w:jc w:val="both"/>
              <w:rPr>
                <w:rFonts w:ascii="Calibri" w:eastAsia="Times New Roman" w:hAnsi="Calibri" w:cs="Times New Roman"/>
                <w:color w:val="000000"/>
              </w:rPr>
            </w:pPr>
            <w:bookmarkStart w:id="0" w:name="_GoBack"/>
            <w:bookmarkEnd w:id="0"/>
          </w:p>
        </w:tc>
      </w:tr>
      <w:tr w:rsidR="00D61ED7" w:rsidRPr="00D61ED7" w:rsidTr="00D61ED7">
        <w:trPr>
          <w:trHeight w:val="300"/>
        </w:trPr>
        <w:tc>
          <w:tcPr>
            <w:tcW w:w="9390" w:type="dxa"/>
            <w:tcBorders>
              <w:top w:val="nil"/>
              <w:left w:val="nil"/>
              <w:bottom w:val="nil"/>
              <w:right w:val="nil"/>
            </w:tcBorders>
            <w:shd w:val="clear" w:color="auto" w:fill="auto"/>
            <w:noWrap/>
            <w:vAlign w:val="center"/>
            <w:hideMark/>
          </w:tcPr>
          <w:p w:rsidR="00D61ED7" w:rsidRPr="00D61ED7" w:rsidRDefault="00D61ED7" w:rsidP="00D61ED7">
            <w:pPr>
              <w:spacing w:after="0" w:line="240" w:lineRule="auto"/>
              <w:jc w:val="both"/>
              <w:rPr>
                <w:rFonts w:ascii="Calibri" w:eastAsia="Times New Roman" w:hAnsi="Calibri" w:cs="Times New Roman"/>
                <w:b/>
                <w:bCs/>
                <w:i/>
                <w:iCs/>
                <w:color w:val="000000"/>
              </w:rPr>
            </w:pPr>
            <w:r w:rsidRPr="00D61ED7">
              <w:rPr>
                <w:rFonts w:ascii="Calibri" w:eastAsia="Times New Roman" w:hAnsi="Calibri" w:cs="Times New Roman"/>
                <w:b/>
                <w:bCs/>
                <w:i/>
                <w:iCs/>
                <w:color w:val="000000"/>
              </w:rPr>
              <w:t>Periodicity</w:t>
            </w:r>
          </w:p>
        </w:tc>
      </w:tr>
      <w:tr w:rsidR="00D61ED7" w:rsidRPr="00D61ED7" w:rsidTr="00D61ED7">
        <w:trPr>
          <w:trHeight w:val="300"/>
        </w:trPr>
        <w:tc>
          <w:tcPr>
            <w:tcW w:w="9390" w:type="dxa"/>
            <w:tcBorders>
              <w:top w:val="nil"/>
              <w:left w:val="nil"/>
              <w:bottom w:val="nil"/>
              <w:right w:val="nil"/>
            </w:tcBorders>
            <w:shd w:val="clear" w:color="auto" w:fill="auto"/>
            <w:noWrap/>
            <w:vAlign w:val="center"/>
            <w:hideMark/>
          </w:tcPr>
          <w:p w:rsidR="00D61ED7" w:rsidRPr="00D61ED7" w:rsidRDefault="00D61ED7" w:rsidP="00D61ED7">
            <w:pPr>
              <w:spacing w:after="0" w:line="240" w:lineRule="auto"/>
              <w:jc w:val="both"/>
              <w:rPr>
                <w:rFonts w:ascii="Calibri" w:eastAsia="Times New Roman" w:hAnsi="Calibri" w:cs="Times New Roman"/>
                <w:color w:val="000000"/>
              </w:rPr>
            </w:pPr>
          </w:p>
        </w:tc>
      </w:tr>
      <w:tr w:rsidR="00D61ED7" w:rsidRPr="00D61ED7" w:rsidTr="00D61ED7">
        <w:trPr>
          <w:trHeight w:val="300"/>
        </w:trPr>
        <w:tc>
          <w:tcPr>
            <w:tcW w:w="9390" w:type="dxa"/>
            <w:tcBorders>
              <w:top w:val="nil"/>
              <w:left w:val="nil"/>
              <w:bottom w:val="nil"/>
              <w:right w:val="nil"/>
            </w:tcBorders>
            <w:shd w:val="clear" w:color="auto" w:fill="auto"/>
            <w:noWrap/>
            <w:vAlign w:val="center"/>
            <w:hideMark/>
          </w:tcPr>
          <w:p w:rsidR="00D61ED7" w:rsidRPr="00D61ED7" w:rsidRDefault="00D61ED7" w:rsidP="00D61ED7">
            <w:pPr>
              <w:spacing w:after="0" w:line="240" w:lineRule="auto"/>
              <w:jc w:val="both"/>
              <w:rPr>
                <w:rFonts w:ascii="Calibri" w:eastAsia="Times New Roman" w:hAnsi="Calibri" w:cs="Times New Roman"/>
                <w:color w:val="000000"/>
              </w:rPr>
            </w:pPr>
            <w:r w:rsidRPr="00D61ED7">
              <w:rPr>
                <w:rFonts w:ascii="Calibri" w:eastAsia="Times New Roman" w:hAnsi="Calibri" w:cs="Times New Roman"/>
                <w:color w:val="000000"/>
              </w:rPr>
              <w:t>This data set is being updated on a monthly basis.</w:t>
            </w:r>
          </w:p>
        </w:tc>
      </w:tr>
      <w:tr w:rsidR="00D61ED7" w:rsidRPr="00D61ED7" w:rsidTr="00D61ED7">
        <w:trPr>
          <w:trHeight w:val="300"/>
        </w:trPr>
        <w:tc>
          <w:tcPr>
            <w:tcW w:w="9390" w:type="dxa"/>
            <w:tcBorders>
              <w:top w:val="nil"/>
              <w:left w:val="nil"/>
              <w:bottom w:val="nil"/>
              <w:right w:val="nil"/>
            </w:tcBorders>
            <w:shd w:val="clear" w:color="auto" w:fill="auto"/>
            <w:noWrap/>
            <w:vAlign w:val="center"/>
            <w:hideMark/>
          </w:tcPr>
          <w:p w:rsidR="00D61ED7" w:rsidRPr="00D61ED7" w:rsidRDefault="00D61ED7" w:rsidP="00D61ED7">
            <w:pPr>
              <w:spacing w:after="0" w:line="240" w:lineRule="auto"/>
              <w:jc w:val="both"/>
              <w:rPr>
                <w:rFonts w:ascii="Calibri" w:eastAsia="Times New Roman" w:hAnsi="Calibri" w:cs="Times New Roman"/>
                <w:color w:val="000000"/>
              </w:rPr>
            </w:pPr>
          </w:p>
        </w:tc>
      </w:tr>
      <w:tr w:rsidR="00D61ED7" w:rsidRPr="00D61ED7" w:rsidTr="00D61ED7">
        <w:trPr>
          <w:trHeight w:val="300"/>
        </w:trPr>
        <w:tc>
          <w:tcPr>
            <w:tcW w:w="9390" w:type="dxa"/>
            <w:tcBorders>
              <w:top w:val="nil"/>
              <w:left w:val="nil"/>
              <w:bottom w:val="nil"/>
              <w:right w:val="nil"/>
            </w:tcBorders>
            <w:shd w:val="clear" w:color="auto" w:fill="auto"/>
            <w:noWrap/>
            <w:vAlign w:val="center"/>
            <w:hideMark/>
          </w:tcPr>
          <w:p w:rsidR="00D61ED7" w:rsidRPr="00D61ED7" w:rsidRDefault="00D61ED7" w:rsidP="00D61ED7">
            <w:pPr>
              <w:spacing w:after="0" w:line="240" w:lineRule="auto"/>
              <w:rPr>
                <w:rFonts w:ascii="Calibri" w:eastAsia="Times New Roman" w:hAnsi="Calibri" w:cs="Times New Roman"/>
                <w:b/>
                <w:bCs/>
                <w:i/>
                <w:iCs/>
                <w:color w:val="000000"/>
              </w:rPr>
            </w:pPr>
            <w:r w:rsidRPr="00D61ED7">
              <w:rPr>
                <w:rFonts w:ascii="Calibri" w:eastAsia="Times New Roman" w:hAnsi="Calibri" w:cs="Times New Roman"/>
                <w:b/>
                <w:bCs/>
                <w:i/>
                <w:iCs/>
                <w:color w:val="000000"/>
              </w:rPr>
              <w:t>Valuation</w:t>
            </w:r>
          </w:p>
        </w:tc>
      </w:tr>
      <w:tr w:rsidR="00D61ED7" w:rsidRPr="00D61ED7" w:rsidTr="00D61ED7">
        <w:trPr>
          <w:trHeight w:val="300"/>
        </w:trPr>
        <w:tc>
          <w:tcPr>
            <w:tcW w:w="9390" w:type="dxa"/>
            <w:tcBorders>
              <w:top w:val="nil"/>
              <w:left w:val="nil"/>
              <w:bottom w:val="nil"/>
              <w:right w:val="nil"/>
            </w:tcBorders>
            <w:shd w:val="clear" w:color="auto" w:fill="auto"/>
            <w:noWrap/>
            <w:vAlign w:val="center"/>
            <w:hideMark/>
          </w:tcPr>
          <w:p w:rsidR="00D61ED7" w:rsidRPr="00D61ED7" w:rsidRDefault="00D61ED7" w:rsidP="00D61ED7">
            <w:pPr>
              <w:spacing w:after="0" w:line="240" w:lineRule="auto"/>
              <w:rPr>
                <w:rFonts w:ascii="Calibri" w:eastAsia="Times New Roman" w:hAnsi="Calibri" w:cs="Times New Roman"/>
                <w:b/>
                <w:bCs/>
                <w:i/>
                <w:iCs/>
                <w:color w:val="000000"/>
              </w:rPr>
            </w:pPr>
          </w:p>
        </w:tc>
      </w:tr>
      <w:tr w:rsidR="00D61ED7" w:rsidRPr="00D61ED7" w:rsidTr="00D61ED7">
        <w:trPr>
          <w:trHeight w:val="1800"/>
        </w:trPr>
        <w:tc>
          <w:tcPr>
            <w:tcW w:w="9390" w:type="dxa"/>
            <w:tcBorders>
              <w:top w:val="nil"/>
              <w:left w:val="nil"/>
              <w:bottom w:val="nil"/>
              <w:right w:val="nil"/>
            </w:tcBorders>
            <w:shd w:val="clear" w:color="auto" w:fill="auto"/>
            <w:vAlign w:val="center"/>
            <w:hideMark/>
          </w:tcPr>
          <w:p w:rsidR="00D61ED7" w:rsidRPr="00D61ED7" w:rsidRDefault="00D61ED7" w:rsidP="00D61ED7">
            <w:pPr>
              <w:spacing w:after="0" w:line="240" w:lineRule="auto"/>
              <w:rPr>
                <w:rFonts w:ascii="Calibri" w:eastAsia="Times New Roman" w:hAnsi="Calibri" w:cs="Times New Roman"/>
                <w:color w:val="000000"/>
              </w:rPr>
            </w:pPr>
            <w:r w:rsidRPr="00D61ED7">
              <w:rPr>
                <w:rFonts w:ascii="Calibri" w:eastAsia="Times New Roman" w:hAnsi="Calibri" w:cs="Times New Roman"/>
                <w:color w:val="000000"/>
              </w:rPr>
              <w:lastRenderedPageBreak/>
              <w:t>Valuation is based on the nominal/historical value of obligations in original currencies. Debt stock figures are converted to U.S. dollar using foreign exchange rates prevailing as of report date while transactions data are converted to U.S. dollar using foreign exchange rates prevailing on transaction dates.</w:t>
            </w:r>
          </w:p>
        </w:tc>
      </w:tr>
      <w:tr w:rsidR="00D61ED7" w:rsidRPr="00D61ED7" w:rsidTr="00D61ED7">
        <w:trPr>
          <w:trHeight w:val="300"/>
        </w:trPr>
        <w:tc>
          <w:tcPr>
            <w:tcW w:w="9390" w:type="dxa"/>
            <w:tcBorders>
              <w:top w:val="nil"/>
              <w:left w:val="nil"/>
              <w:bottom w:val="nil"/>
              <w:right w:val="nil"/>
            </w:tcBorders>
            <w:shd w:val="clear" w:color="auto" w:fill="auto"/>
            <w:noWrap/>
            <w:vAlign w:val="center"/>
            <w:hideMark/>
          </w:tcPr>
          <w:p w:rsidR="00D61ED7" w:rsidRPr="00D61ED7" w:rsidRDefault="00D61ED7" w:rsidP="00D61ED7">
            <w:pPr>
              <w:spacing w:after="0" w:line="240" w:lineRule="auto"/>
              <w:jc w:val="both"/>
              <w:rPr>
                <w:rFonts w:ascii="Calibri" w:eastAsia="Times New Roman" w:hAnsi="Calibri" w:cs="Times New Roman"/>
                <w:color w:val="000000"/>
              </w:rPr>
            </w:pPr>
          </w:p>
        </w:tc>
      </w:tr>
      <w:tr w:rsidR="00D61ED7" w:rsidRPr="00D61ED7" w:rsidTr="00D61ED7">
        <w:trPr>
          <w:trHeight w:val="300"/>
        </w:trPr>
        <w:tc>
          <w:tcPr>
            <w:tcW w:w="9390" w:type="dxa"/>
            <w:tcBorders>
              <w:top w:val="nil"/>
              <w:left w:val="nil"/>
              <w:bottom w:val="nil"/>
              <w:right w:val="nil"/>
            </w:tcBorders>
            <w:shd w:val="clear" w:color="auto" w:fill="auto"/>
            <w:noWrap/>
            <w:vAlign w:val="center"/>
            <w:hideMark/>
          </w:tcPr>
          <w:p w:rsidR="00D61ED7" w:rsidRPr="00D61ED7" w:rsidRDefault="00D61ED7" w:rsidP="00D61ED7">
            <w:pPr>
              <w:spacing w:after="0" w:line="240" w:lineRule="auto"/>
              <w:jc w:val="both"/>
              <w:rPr>
                <w:rFonts w:ascii="Calibri" w:eastAsia="Times New Roman" w:hAnsi="Calibri" w:cs="Times New Roman"/>
                <w:b/>
                <w:bCs/>
                <w:i/>
                <w:iCs/>
                <w:color w:val="000000"/>
              </w:rPr>
            </w:pPr>
            <w:r w:rsidRPr="00D61ED7">
              <w:rPr>
                <w:rFonts w:ascii="Calibri" w:eastAsia="Times New Roman" w:hAnsi="Calibri" w:cs="Times New Roman"/>
                <w:b/>
                <w:bCs/>
                <w:i/>
                <w:iCs/>
                <w:color w:val="000000"/>
              </w:rPr>
              <w:t>Unit of Account</w:t>
            </w:r>
          </w:p>
        </w:tc>
      </w:tr>
      <w:tr w:rsidR="00D61ED7" w:rsidRPr="00D61ED7" w:rsidTr="00D61ED7">
        <w:trPr>
          <w:trHeight w:val="300"/>
        </w:trPr>
        <w:tc>
          <w:tcPr>
            <w:tcW w:w="9390" w:type="dxa"/>
            <w:tcBorders>
              <w:top w:val="nil"/>
              <w:left w:val="nil"/>
              <w:bottom w:val="nil"/>
              <w:right w:val="nil"/>
            </w:tcBorders>
            <w:shd w:val="clear" w:color="auto" w:fill="auto"/>
            <w:noWrap/>
            <w:vAlign w:val="center"/>
            <w:hideMark/>
          </w:tcPr>
          <w:p w:rsidR="00D61ED7" w:rsidRPr="00D61ED7" w:rsidRDefault="00D61ED7" w:rsidP="00D61ED7">
            <w:pPr>
              <w:spacing w:after="0" w:line="240" w:lineRule="auto"/>
              <w:jc w:val="both"/>
              <w:rPr>
                <w:rFonts w:ascii="Calibri" w:eastAsia="Times New Roman" w:hAnsi="Calibri" w:cs="Times New Roman"/>
                <w:color w:val="000000"/>
              </w:rPr>
            </w:pPr>
          </w:p>
        </w:tc>
      </w:tr>
      <w:tr w:rsidR="00D61ED7" w:rsidRPr="00D61ED7" w:rsidTr="00D61ED7">
        <w:trPr>
          <w:trHeight w:val="300"/>
        </w:trPr>
        <w:tc>
          <w:tcPr>
            <w:tcW w:w="9390" w:type="dxa"/>
            <w:tcBorders>
              <w:top w:val="nil"/>
              <w:left w:val="nil"/>
              <w:bottom w:val="nil"/>
              <w:right w:val="nil"/>
            </w:tcBorders>
            <w:shd w:val="clear" w:color="auto" w:fill="auto"/>
            <w:noWrap/>
            <w:vAlign w:val="center"/>
            <w:hideMark/>
          </w:tcPr>
          <w:p w:rsidR="00D61ED7" w:rsidRPr="00D61ED7" w:rsidRDefault="00D61ED7" w:rsidP="00D61ED7">
            <w:pPr>
              <w:spacing w:after="0" w:line="240" w:lineRule="auto"/>
              <w:jc w:val="both"/>
              <w:rPr>
                <w:rFonts w:ascii="Calibri" w:eastAsia="Times New Roman" w:hAnsi="Calibri" w:cs="Times New Roman"/>
                <w:color w:val="000000"/>
              </w:rPr>
            </w:pPr>
            <w:r w:rsidRPr="00D61ED7">
              <w:rPr>
                <w:rFonts w:ascii="Calibri" w:eastAsia="Times New Roman" w:hAnsi="Calibri" w:cs="Times New Roman"/>
                <w:color w:val="000000"/>
              </w:rPr>
              <w:t>All data are expressed in their U.S. dollar equivalent.</w:t>
            </w:r>
          </w:p>
        </w:tc>
      </w:tr>
      <w:tr w:rsidR="00D61ED7" w:rsidRPr="00D61ED7" w:rsidTr="00D61ED7">
        <w:trPr>
          <w:trHeight w:val="315"/>
        </w:trPr>
        <w:tc>
          <w:tcPr>
            <w:tcW w:w="9390" w:type="dxa"/>
            <w:tcBorders>
              <w:top w:val="nil"/>
              <w:left w:val="nil"/>
              <w:bottom w:val="nil"/>
              <w:right w:val="nil"/>
            </w:tcBorders>
            <w:shd w:val="clear" w:color="auto" w:fill="auto"/>
            <w:noWrap/>
            <w:vAlign w:val="center"/>
            <w:hideMark/>
          </w:tcPr>
          <w:p w:rsidR="00D61ED7" w:rsidRPr="00D61ED7" w:rsidRDefault="00D61ED7" w:rsidP="00D61ED7">
            <w:pPr>
              <w:spacing w:after="0" w:line="240" w:lineRule="auto"/>
              <w:rPr>
                <w:rFonts w:ascii="Calibri" w:eastAsia="Times New Roman" w:hAnsi="Calibri" w:cs="Times New Roman"/>
                <w:color w:val="000000"/>
              </w:rPr>
            </w:pPr>
          </w:p>
        </w:tc>
      </w:tr>
    </w:tbl>
    <w:p w:rsidR="008065FC" w:rsidRDefault="008065FC"/>
    <w:sectPr w:rsidR="008065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1ED7"/>
    <w:rsid w:val="008065FC"/>
    <w:rsid w:val="00D61E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1472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3</Pages>
  <Words>480</Words>
  <Characters>2741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CAPUNDAN</dc:creator>
  <cp:lastModifiedBy>CAPUNDAN</cp:lastModifiedBy>
  <cp:revision>1</cp:revision>
  <dcterms:created xsi:type="dcterms:W3CDTF">2015-08-20T06:11:00Z</dcterms:created>
  <dcterms:modified xsi:type="dcterms:W3CDTF">2015-08-20T06:21:00Z</dcterms:modified>
</cp:coreProperties>
</file>