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36" w:rsidRDefault="005F3E36" w:rsidP="005F3E36">
      <w:pPr>
        <w:spacing w:after="0" w:line="240" w:lineRule="auto"/>
        <w:jc w:val="both"/>
        <w:rPr>
          <w:rFonts w:eastAsia="Times New Roman" w:cs="Calibri"/>
        </w:rPr>
      </w:pPr>
    </w:p>
    <w:p w:rsidR="005F3E36" w:rsidRDefault="005F3E36" w:rsidP="005F3E36">
      <w:pPr>
        <w:spacing w:after="0" w:line="240" w:lineRule="auto"/>
        <w:jc w:val="both"/>
        <w:rPr>
          <w:rFonts w:eastAsia="Times New Roman" w:cs="Calibri"/>
          <w:i/>
        </w:rPr>
      </w:pPr>
      <w:r>
        <w:rPr>
          <w:rFonts w:eastAsia="Times New Roman" w:cs="Calibri"/>
          <w:i/>
        </w:rPr>
        <w:t>Scope and Classification</w:t>
      </w:r>
    </w:p>
    <w:p w:rsidR="005F3E36" w:rsidRPr="005F3E36" w:rsidRDefault="005F3E36" w:rsidP="005F3E36">
      <w:pPr>
        <w:spacing w:after="0" w:line="240" w:lineRule="auto"/>
        <w:jc w:val="both"/>
        <w:rPr>
          <w:rFonts w:eastAsia="Times New Roman" w:cs="Calibri"/>
          <w:i/>
        </w:rPr>
      </w:pPr>
    </w:p>
    <w:p w:rsidR="005F3E36" w:rsidRPr="005F3E36" w:rsidRDefault="005F3E36" w:rsidP="005F3E36">
      <w:pPr>
        <w:spacing w:after="0" w:line="240" w:lineRule="auto"/>
        <w:jc w:val="both"/>
        <w:rPr>
          <w:rFonts w:eastAsia="Times New Roman" w:cs="Calibri"/>
        </w:rPr>
      </w:pPr>
      <w:r w:rsidRPr="005F3E36">
        <w:rPr>
          <w:rFonts w:eastAsia="Times New Roman" w:cs="Calibri"/>
        </w:rPr>
        <w:t xml:space="preserve">The </w:t>
      </w:r>
      <w:proofErr w:type="spellStart"/>
      <w:r w:rsidRPr="005F3E36">
        <w:rPr>
          <w:rFonts w:eastAsia="Times New Roman" w:cs="Calibri"/>
        </w:rPr>
        <w:t>PSEi</w:t>
      </w:r>
      <w:proofErr w:type="spellEnd"/>
      <w:r w:rsidRPr="005F3E36">
        <w:rPr>
          <w:rFonts w:eastAsia="Times New Roman" w:cs="Calibri"/>
        </w:rPr>
        <w:t xml:space="preserve"> is the main index of the Philippine Stock Exchange (PSE).  </w:t>
      </w:r>
      <w:r w:rsidRPr="005F3E36">
        <w:t>It is c</w:t>
      </w:r>
      <w:r w:rsidRPr="005F3E36">
        <w:rPr>
          <w:rFonts w:eastAsia="Times New Roman" w:cs="Calibri"/>
        </w:rPr>
        <w:t xml:space="preserve">omposed of a fixed basket of 30 companies, whose selection is based </w:t>
      </w:r>
      <w:proofErr w:type="gramStart"/>
      <w:r w:rsidRPr="005F3E36">
        <w:rPr>
          <w:rFonts w:eastAsia="Times New Roman" w:cs="Calibri"/>
        </w:rPr>
        <w:t>on a specific criteria</w:t>
      </w:r>
      <w:proofErr w:type="gramEnd"/>
      <w:r w:rsidRPr="005F3E36">
        <w:rPr>
          <w:rFonts w:eastAsia="Times New Roman" w:cs="Calibri"/>
        </w:rPr>
        <w:t xml:space="preserve">. The </w:t>
      </w:r>
      <w:proofErr w:type="spellStart"/>
      <w:r w:rsidRPr="005F3E36">
        <w:rPr>
          <w:rFonts w:eastAsia="Times New Roman" w:cs="Calibri"/>
        </w:rPr>
        <w:t>PSEi</w:t>
      </w:r>
      <w:proofErr w:type="spellEnd"/>
      <w:r w:rsidRPr="005F3E36">
        <w:rPr>
          <w:rFonts w:eastAsia="Times New Roman" w:cs="Calibri"/>
        </w:rPr>
        <w:t xml:space="preserve"> provides a snapshot of the market’s overall condition by gauging changes in the stock prices of select listed companies.</w:t>
      </w:r>
    </w:p>
    <w:p w:rsidR="005F3E36" w:rsidRPr="005F3E36" w:rsidRDefault="005F3E36" w:rsidP="005F3E36">
      <w:pPr>
        <w:spacing w:after="0" w:line="240" w:lineRule="auto"/>
        <w:jc w:val="both"/>
        <w:rPr>
          <w:rFonts w:eastAsia="Times New Roman" w:cs="Calibri"/>
        </w:rPr>
      </w:pPr>
    </w:p>
    <w:p w:rsidR="005F3E36" w:rsidRPr="005F3E36" w:rsidRDefault="005F3E36" w:rsidP="005F3E36">
      <w:pPr>
        <w:spacing w:after="0" w:line="240" w:lineRule="auto"/>
        <w:jc w:val="both"/>
        <w:rPr>
          <w:rFonts w:eastAsia="Times New Roman" w:cs="Calibri"/>
        </w:rPr>
      </w:pPr>
      <w:r w:rsidRPr="005F3E36">
        <w:rPr>
          <w:rFonts w:eastAsia="Times New Roman" w:cs="Calibri"/>
        </w:rPr>
        <w:t xml:space="preserve">There are seven other sub-indices that provide a useful measurement of the sectoral performance, namely:  Financial Index, Industrial Index, Holding Firms Index, Property Index, Services Index, Mining &amp; Oil Index, and Small and Medium Enterprises (SME) Index. </w:t>
      </w:r>
    </w:p>
    <w:p w:rsidR="005F3E36" w:rsidRPr="005F3E36" w:rsidRDefault="005F3E36" w:rsidP="005F3E36">
      <w:pPr>
        <w:spacing w:after="0" w:line="240" w:lineRule="auto"/>
        <w:jc w:val="both"/>
        <w:rPr>
          <w:rFonts w:eastAsia="Times New Roman" w:cs="Calibri"/>
        </w:rPr>
      </w:pPr>
    </w:p>
    <w:p w:rsidR="005F3E36" w:rsidRPr="005F3E36" w:rsidRDefault="005F3E36" w:rsidP="005F3E36">
      <w:pPr>
        <w:spacing w:after="0" w:line="240" w:lineRule="auto"/>
        <w:jc w:val="both"/>
        <w:rPr>
          <w:rFonts w:eastAsia="Times New Roman" w:cs="Calibri"/>
        </w:rPr>
      </w:pPr>
      <w:r w:rsidRPr="005F3E36">
        <w:rPr>
          <w:rFonts w:eastAsia="Times New Roman" w:cs="Calibri"/>
        </w:rPr>
        <w:t>For the stock market transactions, the Exchange Traded Fund sector was included starting 2 December 2013.</w:t>
      </w:r>
    </w:p>
    <w:p w:rsidR="005F3E36" w:rsidRPr="005F3E36" w:rsidRDefault="005F3E36" w:rsidP="005F3E36">
      <w:pPr>
        <w:spacing w:after="0" w:line="240" w:lineRule="auto"/>
        <w:jc w:val="both"/>
        <w:rPr>
          <w:rFonts w:eastAsia="Times New Roman" w:cs="Calibri"/>
        </w:rPr>
      </w:pPr>
    </w:p>
    <w:p w:rsidR="005F3E36" w:rsidRDefault="005F3E36" w:rsidP="005F3E36">
      <w:pPr>
        <w:rPr>
          <w:rFonts w:eastAsia="Times New Roman" w:cs="Calibri"/>
        </w:rPr>
      </w:pPr>
      <w:r w:rsidRPr="005F3E36">
        <w:rPr>
          <w:rFonts w:eastAsia="Times New Roman" w:cs="Calibri"/>
        </w:rPr>
        <w:t>Price-to-earnings ratio is a ratio to evaluate a stock's worth. It is calculated by dividing the stock’s price by an earnings-per-share figure.</w:t>
      </w:r>
    </w:p>
    <w:p w:rsidR="005F3E36" w:rsidRDefault="005F3E36" w:rsidP="005F3E36">
      <w:pPr>
        <w:rPr>
          <w:rFonts w:eastAsia="Times New Roman" w:cs="Calibri"/>
        </w:rPr>
      </w:pPr>
    </w:p>
    <w:p w:rsidR="005F3E36" w:rsidRPr="005F3E36" w:rsidRDefault="005F3E36" w:rsidP="005F3E36">
      <w:pPr>
        <w:rPr>
          <w:rFonts w:eastAsia="Times New Roman" w:cs="Calibri"/>
          <w:i/>
        </w:rPr>
      </w:pPr>
      <w:r>
        <w:rPr>
          <w:rFonts w:eastAsia="Times New Roman" w:cs="Calibri"/>
          <w:i/>
        </w:rPr>
        <w:t>Sources of Data and Methodology</w:t>
      </w:r>
      <w:bookmarkStart w:id="0" w:name="_GoBack"/>
      <w:bookmarkEnd w:id="0"/>
    </w:p>
    <w:p w:rsidR="005F3E36" w:rsidRDefault="005F3E36" w:rsidP="005F3E36">
      <w:pPr>
        <w:spacing w:after="0" w:line="240" w:lineRule="auto"/>
        <w:jc w:val="both"/>
        <w:rPr>
          <w:rFonts w:eastAsia="Times New Roman" w:cs="Calibri"/>
        </w:rPr>
      </w:pPr>
      <w:r>
        <w:rPr>
          <w:rFonts w:eastAsia="Times New Roman" w:cs="Calibri"/>
        </w:rPr>
        <w:t>The data are sourced from the PSE.</w:t>
      </w:r>
    </w:p>
    <w:p w:rsidR="005F3E36" w:rsidRDefault="005F3E36" w:rsidP="005F3E36">
      <w:pPr>
        <w:spacing w:after="0" w:line="240" w:lineRule="auto"/>
        <w:jc w:val="both"/>
        <w:rPr>
          <w:rFonts w:eastAsia="Times New Roman" w:cs="Calibri"/>
        </w:rPr>
      </w:pPr>
    </w:p>
    <w:p w:rsidR="005F3E36" w:rsidRDefault="005F3E36" w:rsidP="005F3E36">
      <w:pPr>
        <w:spacing w:after="0" w:line="240" w:lineRule="auto"/>
        <w:jc w:val="both"/>
        <w:rPr>
          <w:rFonts w:eastAsia="Times New Roman" w:cs="Calibri"/>
        </w:rPr>
      </w:pPr>
      <w:r>
        <w:rPr>
          <w:rFonts w:eastAsia="Times New Roman" w:cs="Calibri"/>
        </w:rPr>
        <w:t xml:space="preserve">The </w:t>
      </w:r>
      <w:proofErr w:type="spellStart"/>
      <w:r>
        <w:rPr>
          <w:rFonts w:eastAsia="Times New Roman" w:cs="Calibri"/>
        </w:rPr>
        <w:t>PSEi</w:t>
      </w:r>
      <w:proofErr w:type="spellEnd"/>
      <w:r>
        <w:rPr>
          <w:rFonts w:eastAsia="Times New Roman" w:cs="Calibri"/>
        </w:rPr>
        <w:t xml:space="preserve"> </w:t>
      </w:r>
      <w:proofErr w:type="gramStart"/>
      <w:r>
        <w:rPr>
          <w:rFonts w:eastAsia="Times New Roman" w:cs="Calibri"/>
        </w:rPr>
        <w:t>is</w:t>
      </w:r>
      <w:r w:rsidRPr="009A7C71">
        <w:rPr>
          <w:rFonts w:eastAsia="Times New Roman" w:cs="Calibri"/>
        </w:rPr>
        <w:t xml:space="preserve"> </w:t>
      </w:r>
      <w:r>
        <w:rPr>
          <w:rFonts w:eastAsia="Times New Roman" w:cs="Calibri"/>
        </w:rPr>
        <w:t xml:space="preserve"> a</w:t>
      </w:r>
      <w:proofErr w:type="gramEnd"/>
      <w:r>
        <w:rPr>
          <w:rFonts w:eastAsia="Times New Roman" w:cs="Calibri"/>
        </w:rPr>
        <w:t xml:space="preserve"> market capitalization-weighted price index computed as follows:</w:t>
      </w:r>
    </w:p>
    <w:p w:rsidR="005F3E36" w:rsidRDefault="005F3E36" w:rsidP="005F3E36">
      <w:pPr>
        <w:spacing w:after="0" w:line="240" w:lineRule="auto"/>
        <w:jc w:val="both"/>
        <w:rPr>
          <w:rFonts w:eastAsia="Times New Roman" w:cs="Calibri"/>
        </w:rPr>
      </w:pPr>
    </w:p>
    <w:p w:rsidR="005F3E36" w:rsidRDefault="005F3E36" w:rsidP="005F3E36">
      <w:pPr>
        <w:spacing w:after="0" w:line="240" w:lineRule="auto"/>
        <w:jc w:val="center"/>
        <w:rPr>
          <w:rFonts w:eastAsia="Times New Roman" w:cs="Calibri"/>
        </w:rPr>
      </w:pPr>
      <m:oMath>
        <m:sSub>
          <m:sSubPr>
            <m:ctrlPr>
              <w:rPr>
                <w:rFonts w:ascii="Cambria Math" w:eastAsia="Times New Roman" w:hAnsi="Cambria Math" w:cs="Calibri"/>
                <w:i/>
              </w:rPr>
            </m:ctrlPr>
          </m:sSubPr>
          <m:e>
            <m:r>
              <w:rPr>
                <w:rFonts w:ascii="Cambria Math" w:eastAsia="Times New Roman" w:hAnsi="Cambria Math" w:cs="Calibri"/>
              </w:rPr>
              <m:t>PSE Index</m:t>
            </m:r>
          </m:e>
          <m:sub>
            <m:r>
              <w:rPr>
                <w:rFonts w:ascii="Cambria Math" w:eastAsia="Times New Roman" w:hAnsi="Cambria Math" w:cs="Calibri"/>
              </w:rPr>
              <m:t>t</m:t>
            </m:r>
          </m:sub>
        </m:sSub>
        <m:r>
          <w:rPr>
            <w:rFonts w:ascii="Cambria Math" w:eastAsia="Times New Roman" w:hAnsi="Cambria Math" w:cs="Calibri"/>
          </w:rPr>
          <m:t xml:space="preserve">= </m:t>
        </m:r>
        <m:f>
          <m:fPr>
            <m:ctrlPr>
              <w:rPr>
                <w:rFonts w:ascii="Cambria Math" w:eastAsia="Times New Roman" w:hAnsi="Cambria Math" w:cs="Calibri"/>
                <w:i/>
              </w:rPr>
            </m:ctrlPr>
          </m:fPr>
          <m:num>
            <m:nary>
              <m:naryPr>
                <m:chr m:val="∑"/>
                <m:limLoc m:val="undOvr"/>
                <m:ctrlPr>
                  <w:rPr>
                    <w:rFonts w:ascii="Cambria Math" w:eastAsia="Times New Roman" w:hAnsi="Cambria Math" w:cs="Calibri"/>
                    <w:i/>
                  </w:rPr>
                </m:ctrlPr>
              </m:naryPr>
              <m:sub>
                <m:r>
                  <w:rPr>
                    <w:rFonts w:ascii="Cambria Math" w:eastAsia="Times New Roman" w:hAnsi="Cambria Math" w:cs="Calibri"/>
                  </w:rPr>
                  <m:t>i=1</m:t>
                </m:r>
              </m:sub>
              <m:sup>
                <m:r>
                  <w:rPr>
                    <w:rFonts w:ascii="Cambria Math" w:eastAsia="Times New Roman" w:hAnsi="Cambria Math" w:cs="Calibri"/>
                  </w:rPr>
                  <m:t>n</m:t>
                </m:r>
              </m:sup>
              <m:e>
                <m:sSub>
                  <m:sSubPr>
                    <m:ctrlPr>
                      <w:rPr>
                        <w:rFonts w:ascii="Cambria Math" w:eastAsia="Times New Roman" w:hAnsi="Cambria Math" w:cs="Calibri"/>
                        <w:i/>
                      </w:rPr>
                    </m:ctrlPr>
                  </m:sSubPr>
                  <m:e>
                    <m:r>
                      <w:rPr>
                        <w:rFonts w:ascii="Cambria Math" w:eastAsia="Times New Roman" w:hAnsi="Cambria Math" w:cs="Calibri"/>
                      </w:rPr>
                      <m:t>P</m:t>
                    </m:r>
                  </m:e>
                  <m:sub>
                    <m:r>
                      <w:rPr>
                        <w:rFonts w:ascii="Cambria Math" w:eastAsia="Times New Roman" w:hAnsi="Cambria Math" w:cs="Calibri"/>
                      </w:rPr>
                      <m:t>i</m:t>
                    </m:r>
                  </m:sub>
                </m:sSub>
                <m:r>
                  <w:rPr>
                    <w:rFonts w:ascii="Cambria Math" w:eastAsia="Times New Roman" w:hAnsi="Cambria Math" w:cs="Calibri"/>
                  </w:rPr>
                  <m:t xml:space="preserve"> x </m:t>
                </m:r>
                <m:sSub>
                  <m:sSubPr>
                    <m:ctrlPr>
                      <w:rPr>
                        <w:rFonts w:ascii="Cambria Math" w:eastAsia="Times New Roman" w:hAnsi="Cambria Math" w:cs="Calibri"/>
                        <w:i/>
                      </w:rPr>
                    </m:ctrlPr>
                  </m:sSubPr>
                  <m:e>
                    <m:r>
                      <w:rPr>
                        <w:rFonts w:ascii="Cambria Math" w:eastAsia="Times New Roman" w:hAnsi="Cambria Math" w:cs="Calibri"/>
                      </w:rPr>
                      <m:t>S</m:t>
                    </m:r>
                  </m:e>
                  <m:sub>
                    <m:r>
                      <w:rPr>
                        <w:rFonts w:ascii="Cambria Math" w:eastAsia="Times New Roman" w:hAnsi="Cambria Math" w:cs="Calibri"/>
                      </w:rPr>
                      <m:t>i</m:t>
                    </m:r>
                  </m:sub>
                </m:sSub>
                <m:r>
                  <w:rPr>
                    <w:rFonts w:ascii="Cambria Math" w:eastAsia="Times New Roman" w:hAnsi="Cambria Math" w:cs="Calibri"/>
                  </w:rPr>
                  <m:t xml:space="preserve"> x </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i</m:t>
                    </m:r>
                  </m:sub>
                </m:sSub>
              </m:e>
            </m:nary>
          </m:num>
          <m:den>
            <m:r>
              <w:rPr>
                <w:rFonts w:ascii="Cambria Math" w:eastAsia="Times New Roman" w:hAnsi="Cambria Math" w:cs="Calibri"/>
              </w:rPr>
              <m:t>b</m:t>
            </m:r>
          </m:den>
        </m:f>
      </m:oMath>
      <w:r>
        <w:rPr>
          <w:rFonts w:eastAsia="Times New Roman" w:cs="Calibri"/>
        </w:rPr>
        <w:t xml:space="preserve">  X </w:t>
      </w:r>
      <m:oMath>
        <m:sSub>
          <m:sSubPr>
            <m:ctrlPr>
              <w:rPr>
                <w:rFonts w:ascii="Cambria Math" w:eastAsia="Times New Roman" w:hAnsi="Cambria Math" w:cs="Calibri"/>
                <w:i/>
              </w:rPr>
            </m:ctrlPr>
          </m:sSubPr>
          <m:e>
            <m:r>
              <w:rPr>
                <w:rFonts w:ascii="Cambria Math" w:eastAsia="Times New Roman" w:hAnsi="Cambria Math" w:cs="Calibri"/>
              </w:rPr>
              <m:t>PSE Index</m:t>
            </m:r>
          </m:e>
          <m:sub>
            <m:r>
              <w:rPr>
                <w:rFonts w:ascii="Cambria Math" w:eastAsia="Times New Roman" w:hAnsi="Cambria Math" w:cs="Calibri"/>
              </w:rPr>
              <m:t>t-1</m:t>
            </m:r>
          </m:sub>
        </m:sSub>
      </m:oMath>
    </w:p>
    <w:p w:rsidR="005F3E36" w:rsidRDefault="005F3E36" w:rsidP="005F3E36">
      <w:pPr>
        <w:spacing w:after="0" w:line="240" w:lineRule="auto"/>
        <w:jc w:val="both"/>
        <w:rPr>
          <w:rFonts w:eastAsia="Times New Roman" w:cs="Calibri"/>
        </w:rPr>
      </w:pPr>
    </w:p>
    <w:p w:rsidR="005F3E36" w:rsidRDefault="005F3E36" w:rsidP="005F3E36">
      <w:pPr>
        <w:spacing w:after="0" w:line="240" w:lineRule="auto"/>
        <w:jc w:val="both"/>
        <w:rPr>
          <w:rFonts w:eastAsia="Times New Roman" w:cs="Calibri"/>
        </w:rPr>
      </w:pPr>
      <w:proofErr w:type="gramStart"/>
      <w:r>
        <w:rPr>
          <w:rFonts w:eastAsia="Times New Roman" w:cs="Calibri"/>
        </w:rPr>
        <w:t>where</w:t>
      </w:r>
      <w:proofErr w:type="gramEnd"/>
      <w:r>
        <w:rPr>
          <w:rFonts w:eastAsia="Times New Roman" w:cs="Calibri"/>
        </w:rPr>
        <w:t>:</w:t>
      </w:r>
    </w:p>
    <w:tbl>
      <w:tblPr>
        <w:tblStyle w:val="TableGrid"/>
        <w:tblW w:w="0" w:type="auto"/>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410"/>
        <w:gridCol w:w="4615"/>
      </w:tblGrid>
      <w:tr w:rsidR="005F3E36" w:rsidTr="007D4AC2">
        <w:tc>
          <w:tcPr>
            <w:tcW w:w="490" w:type="dxa"/>
          </w:tcPr>
          <w:p w:rsidR="005F3E36" w:rsidRDefault="005F3E36" w:rsidP="007D4AC2">
            <w:pPr>
              <w:jc w:val="both"/>
              <w:rPr>
                <w:rFonts w:eastAsia="Times New Roman" w:cs="Calibri"/>
              </w:rPr>
            </w:pPr>
            <w:r>
              <w:rPr>
                <w:rFonts w:eastAsia="Times New Roman" w:cs="Calibri"/>
              </w:rPr>
              <w:t>n</w:t>
            </w:r>
          </w:p>
        </w:tc>
        <w:tc>
          <w:tcPr>
            <w:tcW w:w="410" w:type="dxa"/>
          </w:tcPr>
          <w:p w:rsidR="005F3E36" w:rsidRDefault="005F3E36" w:rsidP="007D4AC2">
            <w:pPr>
              <w:jc w:val="both"/>
              <w:rPr>
                <w:rFonts w:eastAsia="Times New Roman" w:cs="Calibri"/>
              </w:rPr>
            </w:pPr>
            <w:r>
              <w:rPr>
                <w:rFonts w:eastAsia="Times New Roman" w:cs="Calibri"/>
              </w:rPr>
              <w:t>=</w:t>
            </w:r>
          </w:p>
        </w:tc>
        <w:tc>
          <w:tcPr>
            <w:tcW w:w="4615" w:type="dxa"/>
          </w:tcPr>
          <w:p w:rsidR="005F3E36" w:rsidRDefault="005F3E36" w:rsidP="007D4AC2">
            <w:pPr>
              <w:jc w:val="both"/>
              <w:rPr>
                <w:rFonts w:eastAsia="Times New Roman" w:cs="Calibri"/>
              </w:rPr>
            </w:pPr>
            <w:r>
              <w:rPr>
                <w:rFonts w:eastAsia="Times New Roman" w:cs="Calibri"/>
              </w:rPr>
              <w:t>Number of  constituents of the index</w:t>
            </w:r>
          </w:p>
        </w:tc>
      </w:tr>
      <w:tr w:rsidR="005F3E36" w:rsidTr="007D4AC2">
        <w:tc>
          <w:tcPr>
            <w:tcW w:w="490" w:type="dxa"/>
          </w:tcPr>
          <w:p w:rsidR="005F3E36" w:rsidRDefault="005F3E36" w:rsidP="007D4AC2">
            <w:pPr>
              <w:jc w:val="both"/>
              <w:rPr>
                <w:rFonts w:eastAsia="Times New Roman" w:cs="Calibri"/>
              </w:rPr>
            </w:pPr>
            <m:oMathPara>
              <m:oMath>
                <m:sSub>
                  <m:sSubPr>
                    <m:ctrlPr>
                      <w:rPr>
                        <w:rFonts w:ascii="Cambria Math" w:eastAsia="Times New Roman" w:hAnsi="Cambria Math" w:cs="Calibri"/>
                        <w:i/>
                      </w:rPr>
                    </m:ctrlPr>
                  </m:sSubPr>
                  <m:e>
                    <m:r>
                      <w:rPr>
                        <w:rFonts w:ascii="Cambria Math" w:eastAsia="Times New Roman" w:hAnsi="Cambria Math" w:cs="Calibri"/>
                      </w:rPr>
                      <m:t>P</m:t>
                    </m:r>
                  </m:e>
                  <m:sub>
                    <m:sSub>
                      <m:sSubPr>
                        <m:ctrlPr>
                          <w:rPr>
                            <w:rFonts w:ascii="Cambria Math" w:eastAsia="Times New Roman" w:hAnsi="Cambria Math" w:cs="Calibri"/>
                            <w:i/>
                          </w:rPr>
                        </m:ctrlPr>
                      </m:sSubPr>
                      <m:e>
                        <m:r>
                          <w:rPr>
                            <w:rFonts w:ascii="Cambria Math" w:eastAsia="Times New Roman" w:hAnsi="Cambria Math" w:cs="Calibri"/>
                          </w:rPr>
                          <m:t>i</m:t>
                        </m:r>
                      </m:e>
                      <m:sub>
                        <m:r>
                          <w:rPr>
                            <w:rFonts w:ascii="Cambria Math" w:eastAsia="Times New Roman" w:hAnsi="Cambria Math" w:cs="Calibri"/>
                          </w:rPr>
                          <m:t>t</m:t>
                        </m:r>
                      </m:sub>
                    </m:sSub>
                  </m:sub>
                </m:sSub>
              </m:oMath>
            </m:oMathPara>
          </w:p>
        </w:tc>
        <w:tc>
          <w:tcPr>
            <w:tcW w:w="410" w:type="dxa"/>
          </w:tcPr>
          <w:p w:rsidR="005F3E36" w:rsidRDefault="005F3E36" w:rsidP="007D4AC2">
            <w:pPr>
              <w:jc w:val="both"/>
              <w:rPr>
                <w:rFonts w:eastAsia="Times New Roman" w:cs="Calibri"/>
              </w:rPr>
            </w:pPr>
            <w:r>
              <w:rPr>
                <w:rFonts w:eastAsia="Times New Roman" w:cs="Calibri"/>
              </w:rPr>
              <w:t>=</w:t>
            </w:r>
          </w:p>
        </w:tc>
        <w:tc>
          <w:tcPr>
            <w:tcW w:w="4615" w:type="dxa"/>
          </w:tcPr>
          <w:p w:rsidR="005F3E36" w:rsidRDefault="005F3E36" w:rsidP="007D4AC2">
            <w:pPr>
              <w:jc w:val="both"/>
              <w:rPr>
                <w:rFonts w:eastAsia="Times New Roman" w:cs="Calibri"/>
              </w:rPr>
            </w:pPr>
            <w:r>
              <w:rPr>
                <w:rFonts w:eastAsia="Times New Roman" w:cs="Calibri"/>
              </w:rPr>
              <w:t xml:space="preserve">Last traded price of company </w:t>
            </w:r>
            <w:proofErr w:type="spellStart"/>
            <w:r w:rsidRPr="00430C66">
              <w:rPr>
                <w:rFonts w:eastAsia="Times New Roman" w:cs="Calibri"/>
                <w:i/>
              </w:rPr>
              <w:t>i</w:t>
            </w:r>
            <w:proofErr w:type="spellEnd"/>
            <w:r>
              <w:rPr>
                <w:rFonts w:eastAsia="Times New Roman" w:cs="Calibri"/>
              </w:rPr>
              <w:t xml:space="preserve"> at day </w:t>
            </w:r>
            <w:r w:rsidRPr="00430C66">
              <w:rPr>
                <w:rFonts w:eastAsia="Times New Roman" w:cs="Calibri"/>
                <w:i/>
              </w:rPr>
              <w:t>t</w:t>
            </w:r>
          </w:p>
        </w:tc>
      </w:tr>
      <w:tr w:rsidR="005F3E36" w:rsidTr="007D4AC2">
        <w:tc>
          <w:tcPr>
            <w:tcW w:w="490" w:type="dxa"/>
          </w:tcPr>
          <w:p w:rsidR="005F3E36" w:rsidRDefault="005F3E36" w:rsidP="007D4AC2">
            <w:pPr>
              <w:jc w:val="both"/>
              <w:rPr>
                <w:rFonts w:eastAsia="Times New Roman" w:cs="Calibri"/>
              </w:rPr>
            </w:pPr>
            <m:oMathPara>
              <m:oMath>
                <m:sSub>
                  <m:sSubPr>
                    <m:ctrlPr>
                      <w:rPr>
                        <w:rFonts w:ascii="Cambria Math" w:eastAsia="Times New Roman" w:hAnsi="Cambria Math" w:cs="Calibri"/>
                        <w:i/>
                      </w:rPr>
                    </m:ctrlPr>
                  </m:sSubPr>
                  <m:e>
                    <m:r>
                      <w:rPr>
                        <w:rFonts w:ascii="Cambria Math" w:eastAsia="Times New Roman" w:hAnsi="Cambria Math" w:cs="Calibri"/>
                      </w:rPr>
                      <m:t>S</m:t>
                    </m:r>
                  </m:e>
                  <m:sub>
                    <m:sSub>
                      <m:sSubPr>
                        <m:ctrlPr>
                          <w:rPr>
                            <w:rFonts w:ascii="Cambria Math" w:eastAsia="Times New Roman" w:hAnsi="Cambria Math" w:cs="Calibri"/>
                            <w:i/>
                          </w:rPr>
                        </m:ctrlPr>
                      </m:sSubPr>
                      <m:e>
                        <m:r>
                          <w:rPr>
                            <w:rFonts w:ascii="Cambria Math" w:eastAsia="Times New Roman" w:hAnsi="Cambria Math" w:cs="Calibri"/>
                          </w:rPr>
                          <m:t>i</m:t>
                        </m:r>
                      </m:e>
                      <m:sub>
                        <m:r>
                          <w:rPr>
                            <w:rFonts w:ascii="Cambria Math" w:eastAsia="Times New Roman" w:hAnsi="Cambria Math" w:cs="Calibri"/>
                          </w:rPr>
                          <m:t>t</m:t>
                        </m:r>
                      </m:sub>
                    </m:sSub>
                  </m:sub>
                </m:sSub>
              </m:oMath>
            </m:oMathPara>
          </w:p>
        </w:tc>
        <w:tc>
          <w:tcPr>
            <w:tcW w:w="410" w:type="dxa"/>
          </w:tcPr>
          <w:p w:rsidR="005F3E36" w:rsidRDefault="005F3E36" w:rsidP="007D4AC2">
            <w:pPr>
              <w:jc w:val="both"/>
              <w:rPr>
                <w:rFonts w:eastAsia="Times New Roman" w:cs="Calibri"/>
              </w:rPr>
            </w:pPr>
            <w:r>
              <w:rPr>
                <w:rFonts w:eastAsia="Times New Roman" w:cs="Calibri"/>
              </w:rPr>
              <w:t>=</w:t>
            </w:r>
          </w:p>
        </w:tc>
        <w:tc>
          <w:tcPr>
            <w:tcW w:w="4615" w:type="dxa"/>
          </w:tcPr>
          <w:p w:rsidR="005F3E36" w:rsidRDefault="005F3E36" w:rsidP="007D4AC2">
            <w:pPr>
              <w:jc w:val="both"/>
              <w:rPr>
                <w:rFonts w:eastAsia="Times New Roman" w:cs="Calibri"/>
              </w:rPr>
            </w:pPr>
            <w:r>
              <w:rPr>
                <w:rFonts w:eastAsia="Times New Roman" w:cs="Calibri"/>
              </w:rPr>
              <w:t xml:space="preserve">Number of outstanding shares of company </w:t>
            </w:r>
            <w:proofErr w:type="spellStart"/>
            <w:r w:rsidRPr="00430C66">
              <w:rPr>
                <w:rFonts w:eastAsia="Times New Roman" w:cs="Calibri"/>
                <w:i/>
              </w:rPr>
              <w:t>i</w:t>
            </w:r>
            <w:proofErr w:type="spellEnd"/>
            <w:r>
              <w:rPr>
                <w:rFonts w:eastAsia="Times New Roman" w:cs="Calibri"/>
              </w:rPr>
              <w:t xml:space="preserve"> at day </w:t>
            </w:r>
            <w:r w:rsidRPr="00430C66">
              <w:rPr>
                <w:rFonts w:eastAsia="Times New Roman" w:cs="Calibri"/>
                <w:i/>
              </w:rPr>
              <w:t>t</w:t>
            </w:r>
          </w:p>
        </w:tc>
      </w:tr>
      <w:tr w:rsidR="005F3E36" w:rsidTr="007D4AC2">
        <w:tc>
          <w:tcPr>
            <w:tcW w:w="490" w:type="dxa"/>
          </w:tcPr>
          <w:p w:rsidR="005F3E36" w:rsidRDefault="005F3E36" w:rsidP="007D4AC2">
            <w:pPr>
              <w:jc w:val="both"/>
              <w:rPr>
                <w:rFonts w:eastAsia="Times New Roman" w:cs="Calibri"/>
              </w:rPr>
            </w:pPr>
            <m:oMathPara>
              <m:oMath>
                <m:sSub>
                  <m:sSubPr>
                    <m:ctrlPr>
                      <w:rPr>
                        <w:rFonts w:ascii="Cambria Math" w:eastAsia="Times New Roman" w:hAnsi="Cambria Math" w:cs="Calibri"/>
                        <w:i/>
                      </w:rPr>
                    </m:ctrlPr>
                  </m:sSubPr>
                  <m:e>
                    <m:r>
                      <w:rPr>
                        <w:rFonts w:ascii="Cambria Math" w:eastAsia="Times New Roman" w:hAnsi="Cambria Math" w:cs="Calibri"/>
                      </w:rPr>
                      <m:t>F</m:t>
                    </m:r>
                  </m:e>
                  <m:sub>
                    <m:sSub>
                      <m:sSubPr>
                        <m:ctrlPr>
                          <w:rPr>
                            <w:rFonts w:ascii="Cambria Math" w:eastAsia="Times New Roman" w:hAnsi="Cambria Math" w:cs="Calibri"/>
                            <w:i/>
                          </w:rPr>
                        </m:ctrlPr>
                      </m:sSubPr>
                      <m:e>
                        <m:r>
                          <w:rPr>
                            <w:rFonts w:ascii="Cambria Math" w:eastAsia="Times New Roman" w:hAnsi="Cambria Math" w:cs="Calibri"/>
                          </w:rPr>
                          <m:t>i</m:t>
                        </m:r>
                      </m:e>
                      <m:sub>
                        <m:r>
                          <w:rPr>
                            <w:rFonts w:ascii="Cambria Math" w:eastAsia="Times New Roman" w:hAnsi="Cambria Math" w:cs="Calibri"/>
                          </w:rPr>
                          <m:t>t</m:t>
                        </m:r>
                      </m:sub>
                    </m:sSub>
                  </m:sub>
                </m:sSub>
              </m:oMath>
            </m:oMathPara>
          </w:p>
        </w:tc>
        <w:tc>
          <w:tcPr>
            <w:tcW w:w="410" w:type="dxa"/>
          </w:tcPr>
          <w:p w:rsidR="005F3E36" w:rsidRDefault="005F3E36" w:rsidP="007D4AC2">
            <w:pPr>
              <w:jc w:val="both"/>
              <w:rPr>
                <w:rFonts w:eastAsia="Times New Roman" w:cs="Calibri"/>
              </w:rPr>
            </w:pPr>
            <w:r>
              <w:rPr>
                <w:rFonts w:eastAsia="Times New Roman" w:cs="Calibri"/>
              </w:rPr>
              <w:t>=</w:t>
            </w:r>
          </w:p>
        </w:tc>
        <w:tc>
          <w:tcPr>
            <w:tcW w:w="4615" w:type="dxa"/>
          </w:tcPr>
          <w:p w:rsidR="005F3E36" w:rsidRDefault="005F3E36" w:rsidP="007D4AC2">
            <w:pPr>
              <w:jc w:val="both"/>
              <w:rPr>
                <w:rFonts w:eastAsia="Times New Roman" w:cs="Calibri"/>
              </w:rPr>
            </w:pPr>
            <w:r>
              <w:rPr>
                <w:rFonts w:eastAsia="Times New Roman" w:cs="Calibri"/>
              </w:rPr>
              <w:t xml:space="preserve">Free float factor of company </w:t>
            </w:r>
            <w:proofErr w:type="spellStart"/>
            <w:r w:rsidRPr="009B2879">
              <w:rPr>
                <w:rFonts w:eastAsia="Times New Roman" w:cs="Calibri"/>
                <w:i/>
              </w:rPr>
              <w:t>i</w:t>
            </w:r>
            <w:proofErr w:type="spellEnd"/>
            <w:r>
              <w:rPr>
                <w:rFonts w:eastAsia="Times New Roman" w:cs="Calibri"/>
              </w:rPr>
              <w:t xml:space="preserve"> to be applied to each security, expressed as a number between 0 to 1, where 1 represents 100% free float</w:t>
            </w:r>
          </w:p>
        </w:tc>
      </w:tr>
      <w:tr w:rsidR="005F3E36" w:rsidTr="007D4AC2">
        <w:tc>
          <w:tcPr>
            <w:tcW w:w="490" w:type="dxa"/>
          </w:tcPr>
          <w:p w:rsidR="005F3E36" w:rsidRDefault="005F3E36" w:rsidP="007D4AC2">
            <w:pPr>
              <w:jc w:val="both"/>
              <w:rPr>
                <w:rFonts w:eastAsia="Times New Roman" w:cs="Calibri"/>
              </w:rPr>
            </w:pPr>
            <w:r>
              <w:rPr>
                <w:rFonts w:eastAsia="Times New Roman" w:cs="Calibri"/>
              </w:rPr>
              <w:t>b</w:t>
            </w:r>
          </w:p>
        </w:tc>
        <w:tc>
          <w:tcPr>
            <w:tcW w:w="410" w:type="dxa"/>
          </w:tcPr>
          <w:p w:rsidR="005F3E36" w:rsidRDefault="005F3E36" w:rsidP="007D4AC2">
            <w:pPr>
              <w:jc w:val="both"/>
              <w:rPr>
                <w:rFonts w:eastAsia="Times New Roman" w:cs="Calibri"/>
              </w:rPr>
            </w:pPr>
            <w:r>
              <w:rPr>
                <w:rFonts w:eastAsia="Times New Roman" w:cs="Calibri"/>
              </w:rPr>
              <w:t>=</w:t>
            </w:r>
          </w:p>
        </w:tc>
        <w:tc>
          <w:tcPr>
            <w:tcW w:w="4615" w:type="dxa"/>
          </w:tcPr>
          <w:p w:rsidR="005F3E36" w:rsidRDefault="005F3E36" w:rsidP="007D4AC2">
            <w:pPr>
              <w:jc w:val="both"/>
              <w:rPr>
                <w:rFonts w:eastAsia="Times New Roman" w:cs="Calibri"/>
              </w:rPr>
            </w:pPr>
            <w:r>
              <w:t>Base free float-adjusted market capitalization defined as the sum of all products of the index stocks’ previous day’s  last traded price and their current free float shares</w:t>
            </w:r>
          </w:p>
        </w:tc>
      </w:tr>
    </w:tbl>
    <w:p w:rsidR="005F3E36" w:rsidRDefault="005F3E36" w:rsidP="005F3E36">
      <w:pPr>
        <w:spacing w:after="0" w:line="240" w:lineRule="auto"/>
        <w:ind w:left="720"/>
        <w:jc w:val="both"/>
        <w:rPr>
          <w:rFonts w:eastAsia="Times New Roman" w:cs="Calibri"/>
        </w:rPr>
      </w:pPr>
    </w:p>
    <w:p w:rsidR="005F3E36" w:rsidRDefault="005F3E36" w:rsidP="005F3E36">
      <w:pPr>
        <w:spacing w:after="0" w:line="240" w:lineRule="auto"/>
        <w:jc w:val="both"/>
        <w:rPr>
          <w:rFonts w:eastAsia="Times New Roman" w:cs="Calibri"/>
        </w:rPr>
      </w:pPr>
      <w:r w:rsidRPr="00EC0476">
        <w:rPr>
          <w:rFonts w:eastAsia="Times New Roman" w:cs="Calibri"/>
        </w:rPr>
        <w:t>Market capitalization is the total market value of all of a company's outstanding shares. It is calculated by multiplying the company's shares outstanding by the current market price of the company's share per piece. Market capitalization is an indicator used by the investment community when determining a company's size.</w:t>
      </w:r>
    </w:p>
    <w:p w:rsidR="005F3E36" w:rsidRDefault="005F3E36" w:rsidP="005F3E36"/>
    <w:p w:rsidR="005F3E36" w:rsidRDefault="005F3E36" w:rsidP="005F3E36">
      <w:pPr>
        <w:spacing w:after="0" w:line="240" w:lineRule="auto"/>
        <w:jc w:val="both"/>
        <w:rPr>
          <w:rFonts w:eastAsia="Times New Roman" w:cs="Calibri"/>
        </w:rPr>
      </w:pPr>
      <w:r w:rsidRPr="00D60118">
        <w:rPr>
          <w:rFonts w:eastAsia="Times New Roman" w:cs="Calibri"/>
        </w:rPr>
        <w:t xml:space="preserve">For the P/E </w:t>
      </w:r>
      <w:r>
        <w:rPr>
          <w:rFonts w:eastAsia="Times New Roman" w:cs="Calibri"/>
        </w:rPr>
        <w:t>r</w:t>
      </w:r>
      <w:r w:rsidRPr="00D60118">
        <w:rPr>
          <w:rFonts w:eastAsia="Times New Roman" w:cs="Calibri"/>
        </w:rPr>
        <w:t xml:space="preserve">atio, </w:t>
      </w:r>
      <w:r>
        <w:rPr>
          <w:rFonts w:eastAsia="Times New Roman" w:cs="Calibri"/>
        </w:rPr>
        <w:t xml:space="preserve">data used is from the </w:t>
      </w:r>
      <w:r w:rsidRPr="00D60118">
        <w:rPr>
          <w:rFonts w:eastAsia="Times New Roman" w:cs="Calibri"/>
        </w:rPr>
        <w:t>net income attributable to parent from the companies’ latest financial statements</w:t>
      </w:r>
      <w:r>
        <w:rPr>
          <w:rFonts w:eastAsia="Times New Roman" w:cs="Calibri"/>
        </w:rPr>
        <w:t>.</w:t>
      </w:r>
      <w:r w:rsidRPr="00D60118">
        <w:rPr>
          <w:rFonts w:eastAsia="Times New Roman" w:cs="Calibri"/>
        </w:rPr>
        <w:t xml:space="preserve"> </w:t>
      </w:r>
      <w:r>
        <w:rPr>
          <w:rFonts w:eastAsia="Times New Roman" w:cs="Calibri"/>
        </w:rPr>
        <w:t>The r</w:t>
      </w:r>
      <w:r w:rsidRPr="00D60118">
        <w:rPr>
          <w:rFonts w:eastAsia="Times New Roman" w:cs="Calibri"/>
        </w:rPr>
        <w:t xml:space="preserve">atio </w:t>
      </w:r>
      <w:r>
        <w:rPr>
          <w:rFonts w:eastAsia="Times New Roman" w:cs="Calibri"/>
        </w:rPr>
        <w:t>is computed by dividing total net income from</w:t>
      </w:r>
      <w:r w:rsidRPr="00D60118">
        <w:rPr>
          <w:rFonts w:eastAsia="Times New Roman" w:cs="Calibri"/>
        </w:rPr>
        <w:t xml:space="preserve"> </w:t>
      </w:r>
      <w:r>
        <w:rPr>
          <w:rFonts w:eastAsia="Times New Roman" w:cs="Calibri"/>
        </w:rPr>
        <w:t xml:space="preserve">total </w:t>
      </w:r>
      <w:r w:rsidRPr="00D60118">
        <w:rPr>
          <w:rFonts w:eastAsia="Times New Roman" w:cs="Calibri"/>
        </w:rPr>
        <w:t xml:space="preserve">market capitalization. </w:t>
      </w:r>
    </w:p>
    <w:p w:rsidR="005F3E36" w:rsidRDefault="005F3E36" w:rsidP="005F3E36">
      <w:pPr>
        <w:spacing w:after="0" w:line="240" w:lineRule="auto"/>
        <w:jc w:val="both"/>
        <w:rPr>
          <w:rFonts w:eastAsia="Times New Roman" w:cs="Calibri"/>
        </w:rPr>
      </w:pPr>
    </w:p>
    <w:p w:rsidR="005F3E36" w:rsidRDefault="005F3E36" w:rsidP="005F3E36">
      <w:pPr>
        <w:spacing w:after="0" w:line="240" w:lineRule="auto"/>
        <w:jc w:val="both"/>
        <w:rPr>
          <w:rFonts w:eastAsia="Times New Roman" w:cs="Calibri"/>
        </w:rPr>
      </w:pPr>
      <w:r w:rsidRPr="00D60118">
        <w:rPr>
          <w:rFonts w:eastAsia="Times New Roman" w:cs="Calibri"/>
        </w:rPr>
        <w:lastRenderedPageBreak/>
        <w:t>Volume and value</w:t>
      </w:r>
      <w:r>
        <w:rPr>
          <w:rFonts w:eastAsia="Times New Roman" w:cs="Calibri"/>
        </w:rPr>
        <w:t xml:space="preserve"> of stock market transactions</w:t>
      </w:r>
      <w:r w:rsidRPr="00D60118">
        <w:rPr>
          <w:rFonts w:eastAsia="Times New Roman" w:cs="Calibri"/>
        </w:rPr>
        <w:t xml:space="preserve"> are computed as the sum of volume and value of all the trades for the period.</w:t>
      </w:r>
    </w:p>
    <w:p w:rsidR="005F3E36" w:rsidRPr="005F3E36" w:rsidRDefault="005F3E36" w:rsidP="005F3E36"/>
    <w:sectPr w:rsidR="005F3E36" w:rsidRPr="005F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36"/>
    <w:rsid w:val="005F3E36"/>
    <w:rsid w:val="0069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E3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3E3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3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3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E3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3E3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3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3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2015-08-28T02:51:00Z</dcterms:created>
  <dcterms:modified xsi:type="dcterms:W3CDTF">2015-08-28T02:54:00Z</dcterms:modified>
</cp:coreProperties>
</file>