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A55" w:rsidRPr="00410A55" w:rsidRDefault="00410A55">
      <w:pPr>
        <w:rPr>
          <w:rFonts w:cs="Arial"/>
          <w:i/>
        </w:rPr>
      </w:pPr>
    </w:p>
    <w:p w:rsidR="00410A55" w:rsidRPr="00410A55" w:rsidRDefault="00410A55">
      <w:pPr>
        <w:rPr>
          <w:rFonts w:cs="Arial"/>
          <w:i/>
        </w:rPr>
      </w:pPr>
      <w:r w:rsidRPr="00410A55">
        <w:rPr>
          <w:rFonts w:cs="Arial"/>
          <w:i/>
        </w:rPr>
        <w:t>Scope and Classification</w:t>
      </w:r>
    </w:p>
    <w:p w:rsidR="00B81F4C" w:rsidRDefault="00410A55">
      <w:pPr>
        <w:rPr>
          <w:rFonts w:cs="Arial"/>
        </w:rPr>
      </w:pPr>
      <w:r w:rsidRPr="00296465">
        <w:rPr>
          <w:rFonts w:cs="Arial"/>
        </w:rPr>
        <w:t>There are thr</w:t>
      </w:r>
      <w:r>
        <w:rPr>
          <w:rFonts w:cs="Arial"/>
        </w:rPr>
        <w:t xml:space="preserve">ee tenors of Treasury Bills: 91-day, </w:t>
      </w:r>
      <w:r w:rsidRPr="00296465">
        <w:rPr>
          <w:rFonts w:cs="Arial"/>
        </w:rPr>
        <w:t>182-day</w:t>
      </w:r>
      <w:r>
        <w:rPr>
          <w:rFonts w:cs="Arial"/>
        </w:rPr>
        <w:t>, and 364-day</w:t>
      </w:r>
      <w:r w:rsidRPr="00296465">
        <w:rPr>
          <w:rFonts w:cs="Arial"/>
        </w:rPr>
        <w:t>. The number of days is based on the universal practice around the world of ensuring that the bills mature on a business day.</w:t>
      </w:r>
    </w:p>
    <w:p w:rsidR="00410A55" w:rsidRDefault="00410A55" w:rsidP="00410A55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10A55" w:rsidRPr="00410A55" w:rsidRDefault="00410A55" w:rsidP="00410A55">
      <w:pPr>
        <w:autoSpaceDE w:val="0"/>
        <w:autoSpaceDN w:val="0"/>
        <w:adjustRightInd w:val="0"/>
        <w:spacing w:after="0" w:line="240" w:lineRule="auto"/>
        <w:rPr>
          <w:rFonts w:cs="Arial"/>
          <w:i/>
        </w:rPr>
      </w:pPr>
      <w:bookmarkStart w:id="0" w:name="_GoBack"/>
      <w:bookmarkEnd w:id="0"/>
    </w:p>
    <w:p w:rsidR="00410A55" w:rsidRPr="00410A55" w:rsidRDefault="00410A55" w:rsidP="00410A55">
      <w:pPr>
        <w:autoSpaceDE w:val="0"/>
        <w:autoSpaceDN w:val="0"/>
        <w:adjustRightInd w:val="0"/>
        <w:spacing w:after="0" w:line="240" w:lineRule="auto"/>
        <w:rPr>
          <w:rFonts w:cs="Arial"/>
          <w:i/>
        </w:rPr>
      </w:pPr>
      <w:r w:rsidRPr="00410A55">
        <w:rPr>
          <w:rFonts w:cs="Arial"/>
          <w:i/>
        </w:rPr>
        <w:t>Sources of Data and Methodology</w:t>
      </w:r>
    </w:p>
    <w:p w:rsidR="00410A55" w:rsidRDefault="00410A55" w:rsidP="00410A55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</w:p>
    <w:p w:rsidR="00410A55" w:rsidRPr="00296465" w:rsidRDefault="00410A55" w:rsidP="00410A55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Treasury b</w:t>
      </w:r>
      <w:r w:rsidRPr="00296465">
        <w:rPr>
          <w:rFonts w:cs="Arial"/>
        </w:rPr>
        <w:t>ills are quoted either by their yield rate, which is the discount, or by their price based on 100 points per unit. Treasury Bil</w:t>
      </w:r>
      <w:r>
        <w:rPr>
          <w:rFonts w:cs="Arial"/>
        </w:rPr>
        <w:t xml:space="preserve">ls which mature in less than 91 </w:t>
      </w:r>
      <w:r w:rsidRPr="00296465">
        <w:rPr>
          <w:rFonts w:cs="Arial"/>
        </w:rPr>
        <w:t>days are called Cash Management Bills (e.g.</w:t>
      </w:r>
      <w:r>
        <w:rPr>
          <w:rFonts w:cs="Arial"/>
        </w:rPr>
        <w:t>,</w:t>
      </w:r>
      <w:r w:rsidRPr="00296465">
        <w:rPr>
          <w:rFonts w:cs="Arial"/>
        </w:rPr>
        <w:t xml:space="preserve"> 35-day, 42-day).</w:t>
      </w:r>
    </w:p>
    <w:p w:rsidR="00410A55" w:rsidRPr="00296465" w:rsidRDefault="00410A55" w:rsidP="00410A55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:rsidR="00410A55" w:rsidRPr="00296465" w:rsidRDefault="00410A55" w:rsidP="00410A55">
      <w:pPr>
        <w:spacing w:after="0" w:line="240" w:lineRule="auto"/>
        <w:jc w:val="both"/>
        <w:rPr>
          <w:rFonts w:eastAsia="Times New Roman" w:cs="Calibri"/>
          <w:color w:val="000000"/>
        </w:rPr>
      </w:pPr>
      <w:r w:rsidRPr="00296465">
        <w:rPr>
          <w:rFonts w:eastAsia="Times New Roman" w:cs="Calibri"/>
          <w:color w:val="000000"/>
        </w:rPr>
        <w:t>Treasury bill auction rates are available at the Bureau of the Treasury’s website (</w:t>
      </w:r>
      <w:hyperlink r:id="rId5" w:history="1">
        <w:r w:rsidRPr="00296465">
          <w:rPr>
            <w:rStyle w:val="Hyperlink"/>
            <w:rFonts w:eastAsia="Times New Roman" w:cs="Calibri"/>
          </w:rPr>
          <w:t>www.treasury.gov.ph</w:t>
        </w:r>
      </w:hyperlink>
      <w:r w:rsidRPr="00296465">
        <w:rPr>
          <w:rFonts w:eastAsia="Times New Roman" w:cs="Calibri"/>
          <w:color w:val="000000"/>
        </w:rPr>
        <w:t>) on the afternoon of the Monday of its reference week.</w:t>
      </w:r>
    </w:p>
    <w:p w:rsidR="00410A55" w:rsidRPr="00296465" w:rsidRDefault="00410A55" w:rsidP="00410A55">
      <w:pPr>
        <w:spacing w:after="0" w:line="240" w:lineRule="auto"/>
        <w:jc w:val="both"/>
        <w:rPr>
          <w:rFonts w:eastAsia="Times New Roman" w:cs="Calibri"/>
          <w:color w:val="000000"/>
        </w:rPr>
      </w:pPr>
    </w:p>
    <w:p w:rsidR="00410A55" w:rsidRPr="00296465" w:rsidRDefault="00410A55" w:rsidP="00410A55">
      <w:pPr>
        <w:spacing w:after="0" w:line="240" w:lineRule="auto"/>
        <w:jc w:val="both"/>
        <w:rPr>
          <w:rFonts w:cs="Arial"/>
        </w:rPr>
      </w:pPr>
      <w:r w:rsidRPr="00296465">
        <w:rPr>
          <w:rFonts w:cs="Arial"/>
        </w:rPr>
        <w:t xml:space="preserve">To determine the </w:t>
      </w:r>
      <w:r w:rsidRPr="00296465">
        <w:rPr>
          <w:rFonts w:cs="Arial"/>
          <w:bCs/>
        </w:rPr>
        <w:t xml:space="preserve">discount </w:t>
      </w:r>
      <w:r w:rsidRPr="00296465">
        <w:rPr>
          <w:rFonts w:cs="Arial"/>
        </w:rPr>
        <w:t xml:space="preserve">of a </w:t>
      </w:r>
      <w:r w:rsidRPr="00296465">
        <w:rPr>
          <w:rFonts w:cs="Arial"/>
          <w:bCs/>
        </w:rPr>
        <w:t xml:space="preserve">Treasury </w:t>
      </w:r>
      <w:proofErr w:type="gramStart"/>
      <w:r w:rsidRPr="00296465">
        <w:rPr>
          <w:rFonts w:cs="Arial"/>
          <w:bCs/>
        </w:rPr>
        <w:t>Bil</w:t>
      </w:r>
      <w:r w:rsidRPr="00296465">
        <w:rPr>
          <w:rFonts w:cs="Arial"/>
        </w:rPr>
        <w:t>l</w:t>
      </w:r>
      <w:proofErr w:type="gramEnd"/>
      <w:r w:rsidRPr="00296465">
        <w:rPr>
          <w:rFonts w:cs="Arial"/>
        </w:rPr>
        <w:t>, the formula is as follows:</w:t>
      </w:r>
    </w:p>
    <w:p w:rsidR="00410A55" w:rsidRPr="00296465" w:rsidRDefault="00410A55" w:rsidP="00410A55">
      <w:pPr>
        <w:spacing w:after="0" w:line="240" w:lineRule="auto"/>
        <w:jc w:val="both"/>
        <w:rPr>
          <w:rFonts w:cs="Arial"/>
        </w:rPr>
      </w:pPr>
    </w:p>
    <w:p w:rsidR="00410A55" w:rsidRPr="00296465" w:rsidRDefault="00410A55" w:rsidP="00410A55">
      <w:pPr>
        <w:spacing w:after="0" w:line="240" w:lineRule="auto"/>
        <w:jc w:val="both"/>
        <w:rPr>
          <w:rFonts w:eastAsia="Times New Roman" w:cs="Calibri"/>
          <w:color w:val="000000"/>
        </w:rPr>
      </w:pPr>
      <w:r w:rsidRPr="00296465">
        <w:rPr>
          <w:rFonts w:eastAsia="Times New Roman" w:cs="Calibri"/>
          <w:color w:val="000000"/>
        </w:rPr>
        <w:t xml:space="preserve">                                                   </w:t>
      </w:r>
      <w:r>
        <w:rPr>
          <w:rFonts w:eastAsia="Times New Roman" w:cs="Calibri"/>
          <w:noProof/>
          <w:color w:val="000000"/>
        </w:rPr>
        <w:drawing>
          <wp:inline distT="0" distB="0" distL="0" distR="0" wp14:anchorId="374D1277" wp14:editId="22CA419D">
            <wp:extent cx="1287780" cy="457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A55" w:rsidRPr="00296465" w:rsidRDefault="00410A55" w:rsidP="00410A55">
      <w:pPr>
        <w:spacing w:after="0" w:line="240" w:lineRule="auto"/>
        <w:jc w:val="both"/>
        <w:rPr>
          <w:rFonts w:eastAsia="Times New Roman" w:cs="Calibri"/>
          <w:color w:val="000000"/>
        </w:rPr>
      </w:pPr>
      <w:r w:rsidRPr="00296465">
        <w:rPr>
          <w:rFonts w:eastAsia="Times New Roman" w:cs="Calibri"/>
          <w:color w:val="000000"/>
        </w:rPr>
        <w:t xml:space="preserve">                                                    </w:t>
      </w:r>
      <w:r>
        <w:rPr>
          <w:rFonts w:eastAsia="Times New Roman" w:cs="Calibri"/>
          <w:noProof/>
          <w:color w:val="000000"/>
        </w:rPr>
        <w:drawing>
          <wp:inline distT="0" distB="0" distL="0" distR="0" wp14:anchorId="4443EA78" wp14:editId="7C86CD8A">
            <wp:extent cx="1402080" cy="800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A55" w:rsidRDefault="00410A55" w:rsidP="00410A55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</w:p>
    <w:p w:rsidR="00410A55" w:rsidRDefault="00410A55" w:rsidP="00410A55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</w:p>
    <w:p w:rsidR="00410A55" w:rsidRPr="00296465" w:rsidRDefault="00410A55" w:rsidP="00410A55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296465">
        <w:rPr>
          <w:rFonts w:cs="Arial"/>
          <w:bCs/>
        </w:rPr>
        <w:t>Where</w:t>
      </w:r>
      <w:r w:rsidRPr="00296465">
        <w:rPr>
          <w:rFonts w:cs="Arial"/>
        </w:rPr>
        <w:t>:</w:t>
      </w:r>
    </w:p>
    <w:p w:rsidR="00410A55" w:rsidRPr="00296465" w:rsidRDefault="00410A55" w:rsidP="00410A55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296465">
        <w:rPr>
          <w:rFonts w:cs="Arial"/>
        </w:rPr>
        <w:t>PP= Purchase Price</w:t>
      </w:r>
    </w:p>
    <w:p w:rsidR="00410A55" w:rsidRPr="00296465" w:rsidRDefault="00410A55" w:rsidP="00410A55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296465">
        <w:rPr>
          <w:rFonts w:cs="Arial"/>
        </w:rPr>
        <w:t xml:space="preserve">PV= Principal Value of the Treasury </w:t>
      </w:r>
      <w:proofErr w:type="gramStart"/>
      <w:r w:rsidRPr="00296465">
        <w:rPr>
          <w:rFonts w:cs="Arial"/>
        </w:rPr>
        <w:t>Bill</w:t>
      </w:r>
      <w:proofErr w:type="gramEnd"/>
    </w:p>
    <w:p w:rsidR="00410A55" w:rsidRPr="00296465" w:rsidRDefault="00410A55" w:rsidP="00410A55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t</w:t>
      </w:r>
      <w:r w:rsidRPr="00296465">
        <w:rPr>
          <w:rFonts w:cs="Arial"/>
        </w:rPr>
        <w:t>= Term (tenor);</w:t>
      </w:r>
      <w:r>
        <w:rPr>
          <w:rFonts w:cs="Arial"/>
        </w:rPr>
        <w:t xml:space="preserve"> Number of days to maturity (e.g.,</w:t>
      </w:r>
      <w:r w:rsidRPr="00296465">
        <w:rPr>
          <w:rFonts w:cs="Arial"/>
        </w:rPr>
        <w:t xml:space="preserve"> 91 days)</w:t>
      </w:r>
    </w:p>
    <w:p w:rsidR="00410A55" w:rsidRPr="00296465" w:rsidRDefault="00410A55" w:rsidP="00410A55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d</w:t>
      </w:r>
      <w:r w:rsidRPr="00296465">
        <w:rPr>
          <w:rFonts w:cs="Arial"/>
        </w:rPr>
        <w:t>= Discount</w:t>
      </w:r>
    </w:p>
    <w:p w:rsidR="00410A55" w:rsidRDefault="00410A55" w:rsidP="00410A55">
      <w:proofErr w:type="spellStart"/>
      <w:r w:rsidRPr="00296465">
        <w:rPr>
          <w:rFonts w:cs="Arial"/>
        </w:rPr>
        <w:t>Witholding</w:t>
      </w:r>
      <w:proofErr w:type="spellEnd"/>
      <w:r w:rsidRPr="00296465">
        <w:rPr>
          <w:rFonts w:cs="Arial"/>
        </w:rPr>
        <w:t xml:space="preserve"> Tax=20% on the discount</w:t>
      </w:r>
    </w:p>
    <w:sectPr w:rsidR="00410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A55"/>
    <w:rsid w:val="00410A55"/>
    <w:rsid w:val="00B8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10A5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A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10A5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A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http://www.treasury.gov.p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CAPUNDAN</dc:creator>
  <cp:lastModifiedBy>CAPUNDAN</cp:lastModifiedBy>
  <cp:revision>1</cp:revision>
  <dcterms:created xsi:type="dcterms:W3CDTF">2015-08-28T05:55:00Z</dcterms:created>
  <dcterms:modified xsi:type="dcterms:W3CDTF">2015-08-28T06:00:00Z</dcterms:modified>
</cp:coreProperties>
</file>