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D9C" w:rsidRPr="00027D9C" w:rsidRDefault="00027D9C">
      <w:pPr>
        <w:rPr>
          <w:rFonts w:eastAsia="Times New Roman" w:cs="Calibri"/>
          <w:i/>
          <w:color w:val="000000"/>
        </w:rPr>
      </w:pPr>
      <w:r>
        <w:rPr>
          <w:rFonts w:eastAsia="Times New Roman" w:cs="Calibri"/>
          <w:i/>
          <w:color w:val="000000"/>
        </w:rPr>
        <w:t>Scope and Classification</w:t>
      </w:r>
    </w:p>
    <w:p w:rsidR="00027D9C" w:rsidRDefault="00027D9C">
      <w:pPr>
        <w:rPr>
          <w:rFonts w:eastAsia="Times New Roman" w:cs="Calibri"/>
          <w:color w:val="000000"/>
        </w:rPr>
      </w:pPr>
      <w:r>
        <w:rPr>
          <w:rFonts w:eastAsia="Times New Roman" w:cs="Calibri"/>
          <w:color w:val="000000"/>
        </w:rPr>
        <w:t>The end-of-period US Dollar cross rates refer to the spot exchange rates of the US Dollar during the last business day of the month or year with the following: Philippine Peso, Japanese Yen, Euro, Pound Sterling, Canadian Dollar, Swiss Franc, Brunei Dollar, Australian D</w:t>
      </w:r>
      <w:r w:rsidRPr="002C303C">
        <w:rPr>
          <w:rFonts w:eastAsia="Times New Roman" w:cs="Calibri"/>
          <w:color w:val="000000"/>
        </w:rPr>
        <w:t>ol</w:t>
      </w:r>
      <w:r>
        <w:rPr>
          <w:rFonts w:eastAsia="Times New Roman" w:cs="Calibri"/>
          <w:color w:val="000000"/>
        </w:rPr>
        <w:t xml:space="preserve">lar, Hong Kong Dollar, New Taiwan Dollar, South Korean Won, Singapore Dollar, Malaysian Ringgit, Thai Baht, Indonesian Rupiah, Saudi </w:t>
      </w:r>
      <w:proofErr w:type="spellStart"/>
      <w:r>
        <w:rPr>
          <w:rFonts w:eastAsia="Times New Roman" w:cs="Calibri"/>
          <w:color w:val="000000"/>
        </w:rPr>
        <w:t>R</w:t>
      </w:r>
      <w:r w:rsidRPr="002C303C">
        <w:rPr>
          <w:rFonts w:eastAsia="Times New Roman" w:cs="Calibri"/>
          <w:color w:val="000000"/>
        </w:rPr>
        <w:t>ial</w:t>
      </w:r>
      <w:proofErr w:type="spellEnd"/>
      <w:r w:rsidRPr="002C303C">
        <w:rPr>
          <w:rFonts w:eastAsia="Times New Roman" w:cs="Calibri"/>
          <w:color w:val="000000"/>
        </w:rPr>
        <w:t xml:space="preserve"> and Special Drawing Rights</w:t>
      </w:r>
      <w:r>
        <w:rPr>
          <w:rFonts w:eastAsia="Times New Roman" w:cs="Calibri"/>
          <w:color w:val="000000"/>
        </w:rPr>
        <w:t>.</w:t>
      </w:r>
    </w:p>
    <w:p w:rsidR="00027D9C" w:rsidRDefault="00027D9C">
      <w:pPr>
        <w:rPr>
          <w:rFonts w:eastAsia="Times New Roman" w:cs="Calibri"/>
          <w:color w:val="000000"/>
        </w:rPr>
      </w:pPr>
      <w:bookmarkStart w:id="0" w:name="_GoBack"/>
      <w:bookmarkEnd w:id="0"/>
    </w:p>
    <w:p w:rsidR="00027D9C" w:rsidRPr="00027D9C" w:rsidRDefault="00027D9C">
      <w:pPr>
        <w:rPr>
          <w:rFonts w:eastAsia="Times New Roman" w:cs="Calibri"/>
          <w:i/>
          <w:color w:val="000000"/>
        </w:rPr>
      </w:pPr>
      <w:r w:rsidRPr="00027D9C">
        <w:rPr>
          <w:rFonts w:eastAsia="Times New Roman" w:cs="Calibri"/>
          <w:i/>
          <w:color w:val="000000"/>
        </w:rPr>
        <w:t>Sources of Data and Methodology</w:t>
      </w:r>
    </w:p>
    <w:p w:rsidR="00027D9C" w:rsidRPr="00C82BC5" w:rsidRDefault="00027D9C" w:rsidP="00027D9C">
      <w:pPr>
        <w:spacing w:after="0" w:line="240" w:lineRule="auto"/>
        <w:rPr>
          <w:rFonts w:eastAsia="Times New Roman" w:cs="Calibri"/>
          <w:color w:val="000000"/>
        </w:rPr>
      </w:pPr>
      <w:r w:rsidRPr="00C82BC5">
        <w:rPr>
          <w:rFonts w:eastAsia="Times New Roman" w:cs="Calibri"/>
          <w:color w:val="000000"/>
        </w:rPr>
        <w:t xml:space="preserve">The </w:t>
      </w:r>
      <w:proofErr w:type="spellStart"/>
      <w:r w:rsidRPr="00C82BC5">
        <w:rPr>
          <w:rFonts w:eastAsia="Times New Roman" w:cs="Calibri"/>
          <w:color w:val="000000"/>
        </w:rPr>
        <w:t>Bangko</w:t>
      </w:r>
      <w:proofErr w:type="spellEnd"/>
      <w:r w:rsidRPr="00C82BC5">
        <w:rPr>
          <w:rFonts w:eastAsia="Times New Roman" w:cs="Calibri"/>
          <w:color w:val="000000"/>
        </w:rPr>
        <w:t xml:space="preserve"> </w:t>
      </w:r>
      <w:proofErr w:type="spellStart"/>
      <w:r w:rsidRPr="00C82BC5">
        <w:rPr>
          <w:rFonts w:eastAsia="Times New Roman" w:cs="Calibri"/>
          <w:color w:val="000000"/>
        </w:rPr>
        <w:t>Sentral</w:t>
      </w:r>
      <w:proofErr w:type="spellEnd"/>
      <w:r w:rsidRPr="00C82BC5">
        <w:rPr>
          <w:rFonts w:eastAsia="Times New Roman" w:cs="Calibri"/>
          <w:color w:val="000000"/>
        </w:rPr>
        <w:t xml:space="preserve"> ng </w:t>
      </w:r>
      <w:proofErr w:type="spellStart"/>
      <w:r w:rsidRPr="00C82BC5">
        <w:rPr>
          <w:rFonts w:eastAsia="Times New Roman" w:cs="Calibri"/>
          <w:color w:val="000000"/>
        </w:rPr>
        <w:t>Pilipinas</w:t>
      </w:r>
      <w:proofErr w:type="spellEnd"/>
      <w:r w:rsidRPr="00C82BC5">
        <w:rPr>
          <w:rFonts w:eastAsia="Times New Roman" w:cs="Calibri"/>
          <w:color w:val="000000"/>
        </w:rPr>
        <w:t xml:space="preserve"> (BSP) adopts a freely floating exchange rate regime. On a daily basis</w:t>
      </w:r>
      <w:r>
        <w:rPr>
          <w:rFonts w:eastAsia="Times New Roman" w:cs="Calibri"/>
          <w:color w:val="000000"/>
        </w:rPr>
        <w:t>,</w:t>
      </w:r>
      <w:r w:rsidRPr="00C82BC5">
        <w:rPr>
          <w:rFonts w:eastAsia="Times New Roman" w:cs="Calibri"/>
          <w:color w:val="000000"/>
        </w:rPr>
        <w:t xml:space="preserve"> a Reference Exchange Rate Bulletin (RERB) is released to the general public to serve as a guide on the prevailing spot exchange rates in the international and domestic currency markets. The RERB is divided into two sections. The first section lists the reference exchange rates for 18 currencies convertible with the BSP. Only commercial banks can go directly to the BSP for exchange of these currencies to Philippine Peso (PHP). The second section lists the reference exchange rates for 14 other currencies that are not convertible into PHP with the BSP. The official reference rates are e</w:t>
      </w:r>
      <w:r>
        <w:rPr>
          <w:rFonts w:eastAsia="Times New Roman" w:cs="Calibri"/>
          <w:color w:val="000000"/>
        </w:rPr>
        <w:t>xpressed in terms of Euros, US D</w:t>
      </w:r>
      <w:r w:rsidRPr="00C82BC5">
        <w:rPr>
          <w:rFonts w:eastAsia="Times New Roman" w:cs="Calibri"/>
          <w:color w:val="000000"/>
        </w:rPr>
        <w:t>ollars (USD), and Pesos per foreign currency unit.</w:t>
      </w:r>
    </w:p>
    <w:p w:rsidR="00027D9C" w:rsidRPr="00C82BC5" w:rsidRDefault="00027D9C" w:rsidP="00027D9C">
      <w:pPr>
        <w:spacing w:after="0" w:line="240" w:lineRule="auto"/>
        <w:rPr>
          <w:rFonts w:eastAsia="Times New Roman" w:cs="Calibri"/>
          <w:color w:val="000000"/>
        </w:rPr>
      </w:pPr>
    </w:p>
    <w:p w:rsidR="00027D9C" w:rsidRPr="00C82BC5" w:rsidRDefault="00027D9C" w:rsidP="00027D9C">
      <w:pPr>
        <w:spacing w:after="0" w:line="240" w:lineRule="auto"/>
        <w:rPr>
          <w:rFonts w:eastAsia="Times New Roman" w:cs="Calibri"/>
          <w:color w:val="000000"/>
        </w:rPr>
      </w:pPr>
      <w:r w:rsidRPr="00C82BC5">
        <w:rPr>
          <w:rFonts w:eastAsia="Times New Roman" w:cs="Calibri"/>
          <w:color w:val="000000"/>
        </w:rPr>
        <w:t xml:space="preserve">The RERB contains the official spot reference exchange rates for the following currencies that are convertible to PHP with the BSP: US Dollar, Japanese Yen, British Pound, Hong Kong Dollar, Swiss Franc, Canadian Dollar, Singapore Dollar, Australian Dollar, Bahraini Dinar, Kuwait Dinar, Saudi </w:t>
      </w:r>
      <w:proofErr w:type="spellStart"/>
      <w:r w:rsidRPr="00C82BC5">
        <w:rPr>
          <w:rFonts w:eastAsia="Times New Roman" w:cs="Calibri"/>
          <w:color w:val="000000"/>
        </w:rPr>
        <w:t>Rial</w:t>
      </w:r>
      <w:proofErr w:type="spellEnd"/>
      <w:r w:rsidRPr="00C82BC5">
        <w:rPr>
          <w:rFonts w:eastAsia="Times New Roman" w:cs="Calibri"/>
          <w:color w:val="000000"/>
        </w:rPr>
        <w:t>, Brunei Dollar, Indonesian Rupiah, Thai Baht, United Arab Emirates Dirham, Euro</w:t>
      </w:r>
      <w:r>
        <w:rPr>
          <w:rFonts w:eastAsia="Times New Roman" w:cs="Calibri"/>
          <w:color w:val="000000"/>
        </w:rPr>
        <w:t>, Korean won and Chinese Yuan (</w:t>
      </w:r>
      <w:proofErr w:type="spellStart"/>
      <w:r>
        <w:rPr>
          <w:rFonts w:eastAsia="Times New Roman" w:cs="Calibri"/>
          <w:color w:val="000000"/>
        </w:rPr>
        <w:t>R</w:t>
      </w:r>
      <w:r w:rsidRPr="00C82BC5">
        <w:rPr>
          <w:rFonts w:eastAsia="Times New Roman" w:cs="Calibri"/>
          <w:color w:val="000000"/>
        </w:rPr>
        <w:t>e</w:t>
      </w:r>
      <w:r>
        <w:rPr>
          <w:rFonts w:eastAsia="Times New Roman" w:cs="Calibri"/>
          <w:color w:val="000000"/>
        </w:rPr>
        <w:t>n</w:t>
      </w:r>
      <w:r w:rsidRPr="00C82BC5">
        <w:rPr>
          <w:rFonts w:eastAsia="Times New Roman" w:cs="Calibri"/>
          <w:color w:val="000000"/>
        </w:rPr>
        <w:t>minbi</w:t>
      </w:r>
      <w:proofErr w:type="spellEnd"/>
      <w:r w:rsidRPr="00C82BC5">
        <w:rPr>
          <w:rFonts w:eastAsia="Times New Roman" w:cs="Calibri"/>
          <w:color w:val="000000"/>
        </w:rPr>
        <w:t>).</w:t>
      </w:r>
    </w:p>
    <w:p w:rsidR="00027D9C" w:rsidRPr="00C82BC5" w:rsidRDefault="00027D9C" w:rsidP="00027D9C">
      <w:pPr>
        <w:spacing w:after="0" w:line="240" w:lineRule="auto"/>
        <w:rPr>
          <w:rFonts w:eastAsia="Times New Roman" w:cs="Calibri"/>
          <w:color w:val="000000"/>
        </w:rPr>
      </w:pPr>
    </w:p>
    <w:p w:rsidR="00027D9C" w:rsidRDefault="00027D9C" w:rsidP="00027D9C">
      <w:pPr>
        <w:spacing w:after="0" w:line="240" w:lineRule="auto"/>
        <w:rPr>
          <w:rFonts w:eastAsia="Times New Roman" w:cs="Calibri"/>
          <w:color w:val="000000"/>
        </w:rPr>
      </w:pPr>
      <w:r w:rsidRPr="00C82BC5">
        <w:rPr>
          <w:rFonts w:eastAsia="Times New Roman" w:cs="Calibri"/>
          <w:color w:val="000000"/>
        </w:rPr>
        <w:t>It also includes the official spot reference exchange rates for the following currencies that are not convertible to PHP with the BSP: Argentine Peso, Brazil Real, Danish Kroner, Indian Rupee, Malaysian Ringgit, Mexican New Peso, New Zealand Dollar, Norwegian Kroner, Pakistani Rupee, South African Rand, Swedish Kroner, Syrian Pound, New Taiwan Dollar and Venezuelan Bolivar.</w:t>
      </w:r>
    </w:p>
    <w:p w:rsidR="00027D9C" w:rsidRDefault="00027D9C" w:rsidP="00027D9C">
      <w:pPr>
        <w:spacing w:after="0" w:line="240" w:lineRule="auto"/>
        <w:rPr>
          <w:rFonts w:eastAsia="Times New Roman" w:cs="Calibri"/>
          <w:color w:val="000000"/>
        </w:rPr>
      </w:pPr>
    </w:p>
    <w:p w:rsidR="00027D9C" w:rsidRDefault="00027D9C" w:rsidP="00027D9C">
      <w:pPr>
        <w:spacing w:after="0" w:line="240" w:lineRule="auto"/>
        <w:rPr>
          <w:rFonts w:eastAsia="Times New Roman" w:cs="Calibri"/>
          <w:color w:val="000000"/>
        </w:rPr>
      </w:pPr>
      <w:r>
        <w:rPr>
          <w:rFonts w:eastAsia="Times New Roman" w:cs="Calibri"/>
          <w:color w:val="000000"/>
        </w:rPr>
        <w:t>The P</w:t>
      </w:r>
      <w:r w:rsidRPr="00AE2972">
        <w:rPr>
          <w:rFonts w:eastAsia="Times New Roman" w:cs="Calibri"/>
          <w:color w:val="000000"/>
        </w:rPr>
        <w:t>eso-</w:t>
      </w:r>
      <w:r>
        <w:rPr>
          <w:rFonts w:eastAsia="Times New Roman" w:cs="Calibri"/>
          <w:color w:val="000000"/>
        </w:rPr>
        <w:t>US D</w:t>
      </w:r>
      <w:r w:rsidRPr="00AE2972">
        <w:rPr>
          <w:rFonts w:eastAsia="Times New Roman" w:cs="Calibri"/>
          <w:color w:val="000000"/>
        </w:rPr>
        <w:t>ollar reference exchange rate is based on the daily weighted average rate of peso-dollar (USD/PHP) spot (trade date plus 1 day) transactions dealt through the Philippine Dealing System (PDS). Reference exchange rates for other currencies are based on closing bid rates as of the most recent New York close.</w:t>
      </w:r>
    </w:p>
    <w:p w:rsidR="00027D9C" w:rsidRDefault="00027D9C" w:rsidP="00027D9C">
      <w:pPr>
        <w:spacing w:after="0" w:line="240" w:lineRule="auto"/>
        <w:rPr>
          <w:rFonts w:eastAsia="Times New Roman" w:cs="Calibri"/>
          <w:color w:val="000000"/>
        </w:rPr>
      </w:pPr>
    </w:p>
    <w:p w:rsidR="00027D9C" w:rsidRDefault="00027D9C" w:rsidP="00027D9C">
      <w:pPr>
        <w:spacing w:after="0" w:line="240" w:lineRule="auto"/>
        <w:rPr>
          <w:rFonts w:eastAsia="Times New Roman" w:cs="Calibri"/>
          <w:color w:val="000000"/>
        </w:rPr>
      </w:pPr>
      <w:r>
        <w:rPr>
          <w:rFonts w:eastAsia="Times New Roman" w:cs="Calibri"/>
          <w:color w:val="000000"/>
        </w:rPr>
        <w:t xml:space="preserve">The US Dollar exchange rate with the Philippine Peso, </w:t>
      </w:r>
      <w:r w:rsidRPr="00B44472">
        <w:rPr>
          <w:rFonts w:eastAsia="Times New Roman" w:cs="Calibri"/>
          <w:i/>
          <w:color w:val="000000"/>
        </w:rPr>
        <w:t>X</w:t>
      </w:r>
      <w:proofErr w:type="gramStart"/>
      <w:r w:rsidRPr="00B44472">
        <w:rPr>
          <w:rFonts w:eastAsia="Times New Roman" w:cs="Calibri"/>
          <w:i/>
          <w:color w:val="000000"/>
        </w:rPr>
        <w:t>,</w:t>
      </w:r>
      <w:r>
        <w:rPr>
          <w:rFonts w:eastAsia="Times New Roman" w:cs="Calibri"/>
          <w:color w:val="000000"/>
        </w:rPr>
        <w:t xml:space="preserve">  is</w:t>
      </w:r>
      <w:proofErr w:type="gramEnd"/>
      <w:r>
        <w:rPr>
          <w:rFonts w:eastAsia="Times New Roman" w:cs="Calibri"/>
          <w:color w:val="000000"/>
        </w:rPr>
        <w:t xml:space="preserve"> computed as the reciprocal of the Philippine Peso-US Dollar exchange rate expressed as:</w:t>
      </w:r>
    </w:p>
    <w:p w:rsidR="00027D9C" w:rsidRPr="00C82BC5" w:rsidRDefault="00027D9C" w:rsidP="00027D9C">
      <w:pPr>
        <w:spacing w:after="0" w:line="240" w:lineRule="auto"/>
        <w:rPr>
          <w:rFonts w:eastAsia="Times New Roman" w:cs="Calibri"/>
          <w:color w:val="000000"/>
        </w:rPr>
      </w:pPr>
      <w:r w:rsidRPr="00C82BC5">
        <w:rPr>
          <w:rFonts w:eastAsia="Times New Roman" w:cs="Calibri"/>
          <w:color w:val="000000"/>
        </w:rPr>
        <w:t xml:space="preserve">The </w:t>
      </w:r>
      <w:proofErr w:type="spellStart"/>
      <w:r w:rsidRPr="00C82BC5">
        <w:rPr>
          <w:rFonts w:eastAsia="Times New Roman" w:cs="Calibri"/>
          <w:color w:val="000000"/>
        </w:rPr>
        <w:t>Bangko</w:t>
      </w:r>
      <w:proofErr w:type="spellEnd"/>
      <w:r w:rsidRPr="00C82BC5">
        <w:rPr>
          <w:rFonts w:eastAsia="Times New Roman" w:cs="Calibri"/>
          <w:color w:val="000000"/>
        </w:rPr>
        <w:t xml:space="preserve"> </w:t>
      </w:r>
      <w:proofErr w:type="spellStart"/>
      <w:r w:rsidRPr="00C82BC5">
        <w:rPr>
          <w:rFonts w:eastAsia="Times New Roman" w:cs="Calibri"/>
          <w:color w:val="000000"/>
        </w:rPr>
        <w:t>Sentral</w:t>
      </w:r>
      <w:proofErr w:type="spellEnd"/>
      <w:r w:rsidRPr="00C82BC5">
        <w:rPr>
          <w:rFonts w:eastAsia="Times New Roman" w:cs="Calibri"/>
          <w:color w:val="000000"/>
        </w:rPr>
        <w:t xml:space="preserve"> ng </w:t>
      </w:r>
      <w:proofErr w:type="spellStart"/>
      <w:r w:rsidRPr="00C82BC5">
        <w:rPr>
          <w:rFonts w:eastAsia="Times New Roman" w:cs="Calibri"/>
          <w:color w:val="000000"/>
        </w:rPr>
        <w:t>Pilipinas</w:t>
      </w:r>
      <w:proofErr w:type="spellEnd"/>
      <w:r w:rsidRPr="00C82BC5">
        <w:rPr>
          <w:rFonts w:eastAsia="Times New Roman" w:cs="Calibri"/>
          <w:color w:val="000000"/>
        </w:rPr>
        <w:t xml:space="preserve"> (BSP) adopts a freely floating exchange rate regime. On a daily basis</w:t>
      </w:r>
      <w:r>
        <w:rPr>
          <w:rFonts w:eastAsia="Times New Roman" w:cs="Calibri"/>
          <w:color w:val="000000"/>
        </w:rPr>
        <w:t>,</w:t>
      </w:r>
      <w:r w:rsidRPr="00C82BC5">
        <w:rPr>
          <w:rFonts w:eastAsia="Times New Roman" w:cs="Calibri"/>
          <w:color w:val="000000"/>
        </w:rPr>
        <w:t xml:space="preserve"> a Reference Exchange Rate Bulletin (RERB) is released to the general public to serve as a guide on the prevailing spot exchange rates in the international and domestic currency markets. The RERB is divided into two sections. The first section lists the reference exchange rates for 18 currencies convertible with the BSP. Only commercial banks can go directly to the BSP for exchange of these currencies to Philippine Peso (PHP). The second section lists the reference exchange rates for 14 other currencies that are not convertible into PHP with the BSP. The official reference rates are e</w:t>
      </w:r>
      <w:r>
        <w:rPr>
          <w:rFonts w:eastAsia="Times New Roman" w:cs="Calibri"/>
          <w:color w:val="000000"/>
        </w:rPr>
        <w:t>xpressed in terms of Euros, US D</w:t>
      </w:r>
      <w:r w:rsidRPr="00C82BC5">
        <w:rPr>
          <w:rFonts w:eastAsia="Times New Roman" w:cs="Calibri"/>
          <w:color w:val="000000"/>
        </w:rPr>
        <w:t>ollars (USD), and Pesos per foreign currency unit.</w:t>
      </w:r>
    </w:p>
    <w:p w:rsidR="00027D9C" w:rsidRPr="00C82BC5" w:rsidRDefault="00027D9C" w:rsidP="00027D9C">
      <w:pPr>
        <w:spacing w:after="0" w:line="240" w:lineRule="auto"/>
        <w:rPr>
          <w:rFonts w:eastAsia="Times New Roman" w:cs="Calibri"/>
          <w:color w:val="000000"/>
        </w:rPr>
      </w:pPr>
    </w:p>
    <w:p w:rsidR="00027D9C" w:rsidRPr="00C82BC5" w:rsidRDefault="00027D9C" w:rsidP="00027D9C">
      <w:pPr>
        <w:spacing w:after="0" w:line="240" w:lineRule="auto"/>
        <w:rPr>
          <w:rFonts w:eastAsia="Times New Roman" w:cs="Calibri"/>
          <w:color w:val="000000"/>
        </w:rPr>
      </w:pPr>
      <w:r w:rsidRPr="00C82BC5">
        <w:rPr>
          <w:rFonts w:eastAsia="Times New Roman" w:cs="Calibri"/>
          <w:color w:val="000000"/>
        </w:rPr>
        <w:lastRenderedPageBreak/>
        <w:t xml:space="preserve">The RERB contains the official spot reference exchange rates for the following currencies that are convertible to PHP with the BSP: US Dollar, Japanese Yen, British Pound, Hong Kong Dollar, Swiss Franc, Canadian Dollar, Singapore Dollar, Australian Dollar, Bahraini Dinar, Kuwait Dinar, Saudi </w:t>
      </w:r>
      <w:proofErr w:type="spellStart"/>
      <w:r w:rsidRPr="00C82BC5">
        <w:rPr>
          <w:rFonts w:eastAsia="Times New Roman" w:cs="Calibri"/>
          <w:color w:val="000000"/>
        </w:rPr>
        <w:t>Rial</w:t>
      </w:r>
      <w:proofErr w:type="spellEnd"/>
      <w:r w:rsidRPr="00C82BC5">
        <w:rPr>
          <w:rFonts w:eastAsia="Times New Roman" w:cs="Calibri"/>
          <w:color w:val="000000"/>
        </w:rPr>
        <w:t>, Brunei Dollar, Indonesian Rupiah, Thai Baht, United Arab Emirates Dirham, Euro</w:t>
      </w:r>
      <w:r>
        <w:rPr>
          <w:rFonts w:eastAsia="Times New Roman" w:cs="Calibri"/>
          <w:color w:val="000000"/>
        </w:rPr>
        <w:t>, Korean won and Chinese Yuan (</w:t>
      </w:r>
      <w:proofErr w:type="spellStart"/>
      <w:r>
        <w:rPr>
          <w:rFonts w:eastAsia="Times New Roman" w:cs="Calibri"/>
          <w:color w:val="000000"/>
        </w:rPr>
        <w:t>R</w:t>
      </w:r>
      <w:r w:rsidRPr="00C82BC5">
        <w:rPr>
          <w:rFonts w:eastAsia="Times New Roman" w:cs="Calibri"/>
          <w:color w:val="000000"/>
        </w:rPr>
        <w:t>e</w:t>
      </w:r>
      <w:r>
        <w:rPr>
          <w:rFonts w:eastAsia="Times New Roman" w:cs="Calibri"/>
          <w:color w:val="000000"/>
        </w:rPr>
        <w:t>n</w:t>
      </w:r>
      <w:r w:rsidRPr="00C82BC5">
        <w:rPr>
          <w:rFonts w:eastAsia="Times New Roman" w:cs="Calibri"/>
          <w:color w:val="000000"/>
        </w:rPr>
        <w:t>minbi</w:t>
      </w:r>
      <w:proofErr w:type="spellEnd"/>
      <w:r w:rsidRPr="00C82BC5">
        <w:rPr>
          <w:rFonts w:eastAsia="Times New Roman" w:cs="Calibri"/>
          <w:color w:val="000000"/>
        </w:rPr>
        <w:t>).</w:t>
      </w:r>
    </w:p>
    <w:p w:rsidR="00027D9C" w:rsidRPr="00C82BC5" w:rsidRDefault="00027D9C" w:rsidP="00027D9C">
      <w:pPr>
        <w:spacing w:after="0" w:line="240" w:lineRule="auto"/>
        <w:rPr>
          <w:rFonts w:eastAsia="Times New Roman" w:cs="Calibri"/>
          <w:color w:val="000000"/>
        </w:rPr>
      </w:pPr>
    </w:p>
    <w:p w:rsidR="00027D9C" w:rsidRDefault="00027D9C" w:rsidP="00027D9C">
      <w:pPr>
        <w:spacing w:after="0" w:line="240" w:lineRule="auto"/>
        <w:rPr>
          <w:rFonts w:eastAsia="Times New Roman" w:cs="Calibri"/>
          <w:color w:val="000000"/>
        </w:rPr>
      </w:pPr>
      <w:r w:rsidRPr="00C82BC5">
        <w:rPr>
          <w:rFonts w:eastAsia="Times New Roman" w:cs="Calibri"/>
          <w:color w:val="000000"/>
        </w:rPr>
        <w:t>It also includes the official spot reference exchange rates for the following currencies that are not convertible to PHP with the BSP: Argentine Peso, Brazil Real, Danish Kroner, Indian Rupee, Malaysian Ringgit, Mexican New Peso, New Zealand Dollar, Norwegian Kroner, Pakistani Rupee, South African Rand, Swedish Kroner, Syrian Pound, New Taiwan Dollar and Venezuelan Bolivar.</w:t>
      </w:r>
    </w:p>
    <w:p w:rsidR="00027D9C" w:rsidRDefault="00027D9C" w:rsidP="00027D9C">
      <w:pPr>
        <w:spacing w:after="0" w:line="240" w:lineRule="auto"/>
        <w:rPr>
          <w:rFonts w:eastAsia="Times New Roman" w:cs="Calibri"/>
          <w:color w:val="000000"/>
        </w:rPr>
      </w:pPr>
    </w:p>
    <w:p w:rsidR="00027D9C" w:rsidRDefault="00027D9C" w:rsidP="00027D9C">
      <w:pPr>
        <w:spacing w:after="0" w:line="240" w:lineRule="auto"/>
        <w:rPr>
          <w:rFonts w:eastAsia="Times New Roman" w:cs="Calibri"/>
          <w:color w:val="000000"/>
        </w:rPr>
      </w:pPr>
      <w:r>
        <w:rPr>
          <w:rFonts w:eastAsia="Times New Roman" w:cs="Calibri"/>
          <w:color w:val="000000"/>
        </w:rPr>
        <w:t>The P</w:t>
      </w:r>
      <w:r w:rsidRPr="00AE2972">
        <w:rPr>
          <w:rFonts w:eastAsia="Times New Roman" w:cs="Calibri"/>
          <w:color w:val="000000"/>
        </w:rPr>
        <w:t>eso-</w:t>
      </w:r>
      <w:r>
        <w:rPr>
          <w:rFonts w:eastAsia="Times New Roman" w:cs="Calibri"/>
          <w:color w:val="000000"/>
        </w:rPr>
        <w:t>US D</w:t>
      </w:r>
      <w:r w:rsidRPr="00AE2972">
        <w:rPr>
          <w:rFonts w:eastAsia="Times New Roman" w:cs="Calibri"/>
          <w:color w:val="000000"/>
        </w:rPr>
        <w:t>ollar reference exchange rate is based on the daily weighted average rate of peso-dollar (USD/PHP) spot (trade date plus 1 day) transactions dealt through the Philippine Dealing System (PDS). Reference exchange rates for other currencies are based on closing bid rates as of the most recent New York close.</w:t>
      </w:r>
    </w:p>
    <w:p w:rsidR="00027D9C" w:rsidRDefault="00027D9C" w:rsidP="00027D9C">
      <w:pPr>
        <w:spacing w:after="0" w:line="240" w:lineRule="auto"/>
        <w:rPr>
          <w:rFonts w:eastAsia="Times New Roman" w:cs="Calibri"/>
          <w:color w:val="000000"/>
        </w:rPr>
      </w:pPr>
    </w:p>
    <w:p w:rsidR="00027D9C" w:rsidRDefault="00027D9C" w:rsidP="00027D9C">
      <w:pPr>
        <w:spacing w:after="0" w:line="240" w:lineRule="auto"/>
        <w:rPr>
          <w:rFonts w:eastAsia="Times New Roman" w:cs="Calibri"/>
          <w:color w:val="000000"/>
        </w:rPr>
      </w:pPr>
      <w:r>
        <w:rPr>
          <w:rFonts w:eastAsia="Times New Roman" w:cs="Calibri"/>
          <w:color w:val="000000"/>
        </w:rPr>
        <w:t xml:space="preserve">The US Dollar exchange rate with the Philippine Peso, </w:t>
      </w:r>
      <w:r w:rsidRPr="00B44472">
        <w:rPr>
          <w:rFonts w:eastAsia="Times New Roman" w:cs="Calibri"/>
          <w:i/>
          <w:color w:val="000000"/>
        </w:rPr>
        <w:t>X</w:t>
      </w:r>
      <w:proofErr w:type="gramStart"/>
      <w:r w:rsidRPr="00B44472">
        <w:rPr>
          <w:rFonts w:eastAsia="Times New Roman" w:cs="Calibri"/>
          <w:i/>
          <w:color w:val="000000"/>
        </w:rPr>
        <w:t>,</w:t>
      </w:r>
      <w:r>
        <w:rPr>
          <w:rFonts w:eastAsia="Times New Roman" w:cs="Calibri"/>
          <w:color w:val="000000"/>
        </w:rPr>
        <w:t xml:space="preserve">  is</w:t>
      </w:r>
      <w:proofErr w:type="gramEnd"/>
      <w:r>
        <w:rPr>
          <w:rFonts w:eastAsia="Times New Roman" w:cs="Calibri"/>
          <w:color w:val="000000"/>
        </w:rPr>
        <w:t xml:space="preserve"> computed as the reciprocal of the Philippine Peso-US Dollar exchange rate expressed as:</w:t>
      </w:r>
    </w:p>
    <w:p w:rsidR="00027D9C" w:rsidRDefault="00027D9C" w:rsidP="00027D9C">
      <w:pPr>
        <w:spacing w:after="0" w:line="240" w:lineRule="auto"/>
        <w:rPr>
          <w:rFonts w:eastAsia="Times New Roman" w:cs="Calibri"/>
          <w:color w:val="000000"/>
        </w:rPr>
      </w:pPr>
    </w:p>
    <w:p w:rsidR="00027D9C" w:rsidRPr="00027D9C" w:rsidRDefault="00027D9C" w:rsidP="00027D9C">
      <m:oMathPara>
        <m:oMath>
          <m:r>
            <w:rPr>
              <w:rFonts w:ascii="Cambria Math" w:hAnsi="Cambria Math"/>
            </w:rPr>
            <m:t>X=</m:t>
          </m:r>
          <m:f>
            <m:fPr>
              <m:ctrlPr>
                <w:rPr>
                  <w:rFonts w:ascii="Cambria Math" w:eastAsia="Calibri" w:hAnsi="Cambria Math" w:cs="Times New Roman"/>
                  <w:i/>
                </w:rPr>
              </m:ctrlPr>
            </m:fPr>
            <m:num>
              <m:r>
                <w:rPr>
                  <w:rFonts w:ascii="Cambria Math" w:hAnsi="Cambria Math"/>
                </w:rPr>
                <m:t>1</m:t>
              </m:r>
            </m:num>
            <m:den>
              <m:r>
                <w:rPr>
                  <w:rFonts w:ascii="Cambria Math" w:hAnsi="Cambria Math"/>
                </w:rPr>
                <m:t>Y</m:t>
              </m:r>
            </m:den>
          </m:f>
        </m:oMath>
      </m:oMathPara>
    </w:p>
    <w:p w:rsidR="00027D9C" w:rsidRDefault="00027D9C" w:rsidP="00027D9C">
      <w:proofErr w:type="gramStart"/>
      <w:r>
        <w:t>where</w:t>
      </w:r>
      <w:proofErr w:type="gramEnd"/>
      <w:r>
        <w:t xml:space="preserve">: </w:t>
      </w:r>
      <w:r w:rsidRPr="004F2B9E">
        <w:rPr>
          <w:i/>
        </w:rPr>
        <w:t>Y</w:t>
      </w:r>
      <w:r>
        <w:rPr>
          <w:rFonts w:eastAsia="Times New Roman" w:cs="Calibri"/>
          <w:color w:val="000000"/>
        </w:rPr>
        <w:t xml:space="preserve"> represents the PHP-USD exchange rate. As for the other currencies, US Dollar cross rates refer to US Dollars (USD) per foreign currency unit. The monthly and annual end-of-period US Dollar-foreign currency rate refers to the spot exchange rate of the US Dollar to a foreign currency during the last business day of the month and year, respectively.</w:t>
      </w:r>
    </w:p>
    <w:sectPr w:rsidR="00027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D9C"/>
    <w:rsid w:val="00027D9C"/>
    <w:rsid w:val="00B8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7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D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7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D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2015-08-28T03:02:00Z</dcterms:created>
  <dcterms:modified xsi:type="dcterms:W3CDTF">2015-08-28T03:04:00Z</dcterms:modified>
</cp:coreProperties>
</file>