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49" w:rsidRPr="009D6249" w:rsidRDefault="009D6249" w:rsidP="009D6249">
      <w:pPr>
        <w:autoSpaceDE w:val="0"/>
        <w:autoSpaceDN w:val="0"/>
        <w:adjustRightInd w:val="0"/>
        <w:spacing w:after="0" w:line="240" w:lineRule="auto"/>
        <w:jc w:val="both"/>
        <w:rPr>
          <w:rFonts w:cs="TT1480o00"/>
          <w:i/>
          <w:lang w:val="en-PH" w:eastAsia="en-PH"/>
        </w:rPr>
      </w:pPr>
      <w:r w:rsidRPr="009D6249">
        <w:rPr>
          <w:rFonts w:cs="TT1480o00"/>
          <w:i/>
          <w:lang w:val="en-PH" w:eastAsia="en-PH"/>
        </w:rPr>
        <w:t>Scope and Classification</w:t>
      </w:r>
    </w:p>
    <w:p w:rsidR="009D6249" w:rsidRDefault="009D6249" w:rsidP="009D6249">
      <w:pPr>
        <w:autoSpaceDE w:val="0"/>
        <w:autoSpaceDN w:val="0"/>
        <w:adjustRightInd w:val="0"/>
        <w:spacing w:after="0" w:line="240" w:lineRule="auto"/>
        <w:jc w:val="both"/>
        <w:rPr>
          <w:rFonts w:cs="TT1480o00"/>
          <w:lang w:val="en-PH" w:eastAsia="en-PH"/>
        </w:rPr>
      </w:pPr>
    </w:p>
    <w:p w:rsidR="009D6249" w:rsidRDefault="009D6249" w:rsidP="009D6249">
      <w:pPr>
        <w:autoSpaceDE w:val="0"/>
        <w:autoSpaceDN w:val="0"/>
        <w:adjustRightInd w:val="0"/>
        <w:spacing w:after="0" w:line="240" w:lineRule="auto"/>
        <w:jc w:val="both"/>
        <w:rPr>
          <w:rFonts w:cs="TT1480o00"/>
          <w:lang w:val="en-PH" w:eastAsia="en-PH"/>
        </w:rPr>
      </w:pPr>
      <w:r w:rsidRPr="0088514F">
        <w:rPr>
          <w:rFonts w:cs="TT1480o00"/>
          <w:lang w:val="en-PH" w:eastAsia="en-PH"/>
        </w:rPr>
        <w:t>Wholesale price refers to the price of commodity transacted in</w:t>
      </w:r>
      <w:r>
        <w:rPr>
          <w:rFonts w:cs="TT1480o00"/>
          <w:lang w:val="en-PH" w:eastAsia="en-PH"/>
        </w:rPr>
        <w:t xml:space="preserve"> </w:t>
      </w:r>
      <w:r w:rsidRPr="0088514F">
        <w:rPr>
          <w:rFonts w:cs="TT1480o00"/>
          <w:lang w:val="en-PH" w:eastAsia="en-PH"/>
        </w:rPr>
        <w:t>bulk for further resale or processing. It is the actual “spot”</w:t>
      </w:r>
      <w:r>
        <w:rPr>
          <w:rFonts w:cs="TT1480o00"/>
          <w:lang w:val="en-PH" w:eastAsia="en-PH"/>
        </w:rPr>
        <w:t xml:space="preserve"> </w:t>
      </w:r>
      <w:r w:rsidRPr="0088514F">
        <w:rPr>
          <w:rFonts w:cs="TT1480o00"/>
          <w:lang w:val="en-PH" w:eastAsia="en-PH"/>
        </w:rPr>
        <w:t>transaction price received usually by the wholesalers, distributors</w:t>
      </w:r>
      <w:r>
        <w:rPr>
          <w:rFonts w:cs="TT1480o00"/>
          <w:lang w:val="en-PH" w:eastAsia="en-PH"/>
        </w:rPr>
        <w:t xml:space="preserve"> </w:t>
      </w:r>
      <w:r w:rsidRPr="0088514F">
        <w:rPr>
          <w:rFonts w:cs="TT1480o00"/>
          <w:lang w:val="en-PH" w:eastAsia="en-PH"/>
        </w:rPr>
        <w:t>or marketing agents for large lots but net of discounts, allowances</w:t>
      </w:r>
      <w:r>
        <w:rPr>
          <w:rFonts w:cs="TT1480o00"/>
          <w:lang w:val="en-PH" w:eastAsia="en-PH"/>
        </w:rPr>
        <w:t xml:space="preserve"> </w:t>
      </w:r>
      <w:r w:rsidRPr="0088514F">
        <w:rPr>
          <w:rFonts w:cs="TT1480o00"/>
          <w:lang w:val="en-PH" w:eastAsia="en-PH"/>
        </w:rPr>
        <w:t>and rebates. It is the sum of the producer price, wholesale trade</w:t>
      </w:r>
      <w:r>
        <w:rPr>
          <w:rFonts w:cs="TT1480o00"/>
          <w:lang w:val="en-PH" w:eastAsia="en-PH"/>
        </w:rPr>
        <w:t xml:space="preserve"> </w:t>
      </w:r>
      <w:r w:rsidRPr="0088514F">
        <w:rPr>
          <w:rFonts w:cs="TT1480o00"/>
          <w:lang w:val="en-PH" w:eastAsia="en-PH"/>
        </w:rPr>
        <w:t>margin, tax mark-ups and distribution cost of the</w:t>
      </w:r>
      <w:r>
        <w:rPr>
          <w:rFonts w:cs="TT1480o00"/>
          <w:lang w:val="en-PH" w:eastAsia="en-PH"/>
        </w:rPr>
        <w:t xml:space="preserve"> </w:t>
      </w:r>
      <w:r w:rsidRPr="0088514F">
        <w:rPr>
          <w:rFonts w:cs="TT1480o00"/>
          <w:lang w:val="en-PH" w:eastAsia="en-PH"/>
        </w:rPr>
        <w:t>wholesaler.</w:t>
      </w:r>
    </w:p>
    <w:p w:rsidR="009D6249" w:rsidRDefault="009D6249" w:rsidP="009D6249">
      <w:pPr>
        <w:autoSpaceDE w:val="0"/>
        <w:autoSpaceDN w:val="0"/>
        <w:adjustRightInd w:val="0"/>
        <w:spacing w:after="0" w:line="240" w:lineRule="auto"/>
        <w:jc w:val="both"/>
        <w:rPr>
          <w:rFonts w:cs="TT1480o00"/>
          <w:lang w:val="en-PH" w:eastAsia="en-PH"/>
        </w:rPr>
      </w:pPr>
    </w:p>
    <w:p w:rsidR="009D6249" w:rsidRPr="003C7734" w:rsidRDefault="009D6249" w:rsidP="009D6249">
      <w:pPr>
        <w:autoSpaceDE w:val="0"/>
        <w:autoSpaceDN w:val="0"/>
        <w:adjustRightInd w:val="0"/>
        <w:spacing w:after="0" w:line="240" w:lineRule="auto"/>
        <w:jc w:val="both"/>
      </w:pPr>
      <w:r>
        <w:t>The WPI</w:t>
      </w:r>
      <w:r w:rsidRPr="003C7734">
        <w:t xml:space="preserve"> uses a </w:t>
      </w:r>
      <w:r w:rsidRPr="00A252CA">
        <w:rPr>
          <w:rFonts w:cs="TT1480o00"/>
          <w:lang w:val="en-PH" w:eastAsia="en-PH"/>
        </w:rPr>
        <w:t xml:space="preserve">sample of commodities that represent a large variety of goods traded in the </w:t>
      </w:r>
      <w:r>
        <w:rPr>
          <w:rFonts w:cs="TT1480o00"/>
          <w:lang w:val="en-PH" w:eastAsia="en-PH"/>
        </w:rPr>
        <w:t>wholesale</w:t>
      </w:r>
      <w:r w:rsidRPr="00A252CA">
        <w:rPr>
          <w:rFonts w:cs="TT1480o00"/>
          <w:lang w:val="en-PH" w:eastAsia="en-PH"/>
        </w:rPr>
        <w:t xml:space="preserve"> market.</w:t>
      </w:r>
      <w:r>
        <w:rPr>
          <w:rFonts w:cs="TT1480o00"/>
          <w:lang w:val="en-PH" w:eastAsia="en-PH"/>
        </w:rPr>
        <w:t xml:space="preserve"> It includes </w:t>
      </w:r>
      <w:r w:rsidRPr="003553D5">
        <w:rPr>
          <w:rFonts w:cs="TT1480o00"/>
          <w:lang w:val="en-PH" w:eastAsia="en-PH"/>
        </w:rPr>
        <w:t>locally produced</w:t>
      </w:r>
      <w:r>
        <w:rPr>
          <w:rFonts w:cs="TT1480o00"/>
          <w:lang w:val="en-PH" w:eastAsia="en-PH"/>
        </w:rPr>
        <w:t xml:space="preserve"> </w:t>
      </w:r>
      <w:r w:rsidRPr="003553D5">
        <w:rPr>
          <w:rFonts w:cs="TT1480o00"/>
          <w:lang w:val="en-PH" w:eastAsia="en-PH"/>
        </w:rPr>
        <w:t xml:space="preserve">commodities and imported goods for resale. The current </w:t>
      </w:r>
      <w:r>
        <w:rPr>
          <w:rFonts w:cs="TT1480o00"/>
          <w:lang w:val="en-PH" w:eastAsia="en-PH"/>
        </w:rPr>
        <w:t xml:space="preserve">WPI </w:t>
      </w:r>
      <w:r w:rsidRPr="003553D5">
        <w:rPr>
          <w:rFonts w:cs="TT1480o00"/>
          <w:lang w:val="en-PH" w:eastAsia="en-PH"/>
        </w:rPr>
        <w:t>series</w:t>
      </w:r>
      <w:r>
        <w:rPr>
          <w:rFonts w:cs="TT1480o00"/>
          <w:lang w:val="en-PH" w:eastAsia="en-PH"/>
        </w:rPr>
        <w:t xml:space="preserve"> </w:t>
      </w:r>
      <w:r w:rsidRPr="003553D5">
        <w:rPr>
          <w:rFonts w:cs="TT1480o00"/>
          <w:lang w:val="en-PH" w:eastAsia="en-PH"/>
        </w:rPr>
        <w:t>consists of 437 commodities in Luzon, 302</w:t>
      </w:r>
      <w:r>
        <w:rPr>
          <w:rFonts w:cs="TT1480o00"/>
          <w:lang w:val="en-PH" w:eastAsia="en-PH"/>
        </w:rPr>
        <w:t xml:space="preserve"> </w:t>
      </w:r>
      <w:r w:rsidRPr="003553D5">
        <w:rPr>
          <w:rFonts w:cs="TT1480o00"/>
          <w:lang w:val="en-PH" w:eastAsia="en-PH"/>
        </w:rPr>
        <w:t xml:space="preserve">commodities in </w:t>
      </w:r>
      <w:proofErr w:type="spellStart"/>
      <w:r w:rsidRPr="003553D5">
        <w:rPr>
          <w:rFonts w:cs="TT1480o00"/>
          <w:lang w:val="en-PH" w:eastAsia="en-PH"/>
        </w:rPr>
        <w:t>Visayas</w:t>
      </w:r>
      <w:proofErr w:type="spellEnd"/>
      <w:r w:rsidRPr="003553D5">
        <w:rPr>
          <w:rFonts w:cs="TT1480o00"/>
          <w:lang w:val="en-PH" w:eastAsia="en-PH"/>
        </w:rPr>
        <w:t>, and 372 commodities in Mindanao.</w:t>
      </w:r>
      <w:r>
        <w:rPr>
          <w:rFonts w:cs="TT1480o00"/>
          <w:lang w:val="en-PH" w:eastAsia="en-PH"/>
        </w:rPr>
        <w:t xml:space="preserve"> </w:t>
      </w:r>
      <w:r w:rsidRPr="003553D5">
        <w:rPr>
          <w:rFonts w:cs="TT1480o00"/>
          <w:lang w:val="en-PH" w:eastAsia="en-PH"/>
        </w:rPr>
        <w:t>The commodities are classified according to the Philippine</w:t>
      </w:r>
      <w:r>
        <w:rPr>
          <w:rFonts w:cs="TT1480o00"/>
          <w:lang w:val="en-PH" w:eastAsia="en-PH"/>
        </w:rPr>
        <w:t xml:space="preserve"> </w:t>
      </w:r>
      <w:r w:rsidRPr="003553D5">
        <w:rPr>
          <w:rFonts w:cs="TT1480o00"/>
          <w:lang w:val="en-PH" w:eastAsia="en-PH"/>
        </w:rPr>
        <w:t xml:space="preserve">Standard </w:t>
      </w:r>
      <w:r>
        <w:rPr>
          <w:rFonts w:cs="TT1480o00"/>
          <w:lang w:val="en-PH" w:eastAsia="en-PH"/>
        </w:rPr>
        <w:t xml:space="preserve">Commodity Classification (PSCC).  </w:t>
      </w:r>
      <w:r w:rsidRPr="003C7734">
        <w:t xml:space="preserve">These items are classified into </w:t>
      </w:r>
      <w:r>
        <w:t>the following</w:t>
      </w:r>
      <w:r w:rsidRPr="003C7734">
        <w:t xml:space="preserve"> major groups: </w:t>
      </w:r>
    </w:p>
    <w:p w:rsidR="009D6249" w:rsidRPr="003C7734" w:rsidRDefault="009D6249" w:rsidP="009D6249">
      <w:pPr>
        <w:autoSpaceDE w:val="0"/>
        <w:autoSpaceDN w:val="0"/>
        <w:adjustRightInd w:val="0"/>
        <w:spacing w:after="0" w:line="240" w:lineRule="auto"/>
        <w:jc w:val="both"/>
      </w:pPr>
    </w:p>
    <w:p w:rsidR="009D6249" w:rsidRPr="003C7734" w:rsidRDefault="009D6249" w:rsidP="009D6249">
      <w:pPr>
        <w:numPr>
          <w:ilvl w:val="0"/>
          <w:numId w:val="1"/>
        </w:numPr>
        <w:spacing w:after="0" w:line="240" w:lineRule="auto"/>
        <w:jc w:val="both"/>
      </w:pPr>
      <w:r>
        <w:t>All I</w:t>
      </w:r>
      <w:r w:rsidRPr="003C7734">
        <w:t>tems</w:t>
      </w:r>
    </w:p>
    <w:p w:rsidR="009D6249" w:rsidRPr="003C7734" w:rsidRDefault="009D6249" w:rsidP="009D6249">
      <w:pPr>
        <w:numPr>
          <w:ilvl w:val="0"/>
          <w:numId w:val="1"/>
        </w:numPr>
        <w:spacing w:after="0" w:line="240" w:lineRule="auto"/>
        <w:jc w:val="both"/>
      </w:pPr>
      <w:r w:rsidRPr="003C7734">
        <w:t>Food</w:t>
      </w:r>
    </w:p>
    <w:p w:rsidR="009D6249" w:rsidRPr="003C7734" w:rsidRDefault="009D6249" w:rsidP="009D6249">
      <w:pPr>
        <w:numPr>
          <w:ilvl w:val="0"/>
          <w:numId w:val="1"/>
        </w:numPr>
        <w:spacing w:after="0" w:line="240" w:lineRule="auto"/>
        <w:jc w:val="both"/>
      </w:pPr>
      <w:r w:rsidRPr="003C7734">
        <w:t>Beverages and Tobacco</w:t>
      </w:r>
    </w:p>
    <w:p w:rsidR="009D6249" w:rsidRPr="003C7734" w:rsidRDefault="009D6249" w:rsidP="009D6249">
      <w:pPr>
        <w:numPr>
          <w:ilvl w:val="0"/>
          <w:numId w:val="1"/>
        </w:numPr>
        <w:spacing w:after="0" w:line="240" w:lineRule="auto"/>
        <w:jc w:val="both"/>
      </w:pPr>
      <w:r w:rsidRPr="003C7734">
        <w:t>Crude Materials, Inedible except Fuels</w:t>
      </w:r>
    </w:p>
    <w:p w:rsidR="009D6249" w:rsidRDefault="009D6249" w:rsidP="009D6249">
      <w:pPr>
        <w:numPr>
          <w:ilvl w:val="0"/>
          <w:numId w:val="1"/>
        </w:numPr>
        <w:spacing w:after="0" w:line="240" w:lineRule="auto"/>
        <w:jc w:val="both"/>
      </w:pPr>
      <w:r>
        <w:t>Mineral Fuels, Lubricants and Related Materials</w:t>
      </w:r>
    </w:p>
    <w:p w:rsidR="009D6249" w:rsidRDefault="009D6249" w:rsidP="009D6249">
      <w:pPr>
        <w:numPr>
          <w:ilvl w:val="0"/>
          <w:numId w:val="1"/>
        </w:numPr>
        <w:spacing w:after="0" w:line="240" w:lineRule="auto"/>
        <w:jc w:val="both"/>
      </w:pPr>
      <w:r>
        <w:t>Chemicals, including Animal and Vegetable Oils and Fats</w:t>
      </w:r>
    </w:p>
    <w:p w:rsidR="009D6249" w:rsidRDefault="009D6249" w:rsidP="009D6249">
      <w:pPr>
        <w:numPr>
          <w:ilvl w:val="0"/>
          <w:numId w:val="1"/>
        </w:numPr>
        <w:spacing w:after="0" w:line="240" w:lineRule="auto"/>
        <w:jc w:val="both"/>
      </w:pPr>
      <w:r>
        <w:t>Manufactured Goods classified chiefly  by Materials</w:t>
      </w:r>
    </w:p>
    <w:p w:rsidR="009D6249" w:rsidRDefault="009D6249" w:rsidP="009D6249">
      <w:pPr>
        <w:numPr>
          <w:ilvl w:val="0"/>
          <w:numId w:val="1"/>
        </w:numPr>
        <w:spacing w:after="0" w:line="240" w:lineRule="auto"/>
        <w:jc w:val="both"/>
      </w:pPr>
      <w:r>
        <w:t>Machinery and Transport Equipment</w:t>
      </w:r>
    </w:p>
    <w:p w:rsidR="009D6249" w:rsidRDefault="009D6249" w:rsidP="009D6249">
      <w:pPr>
        <w:numPr>
          <w:ilvl w:val="0"/>
          <w:numId w:val="1"/>
        </w:numPr>
        <w:spacing w:after="0" w:line="240" w:lineRule="auto"/>
        <w:jc w:val="both"/>
      </w:pPr>
      <w:r>
        <w:t>Miscellaneous Manufactured Articles</w:t>
      </w:r>
    </w:p>
    <w:p w:rsidR="009D6249" w:rsidRDefault="009D6249" w:rsidP="009D6249">
      <w:pPr>
        <w:spacing w:after="0" w:line="240" w:lineRule="auto"/>
        <w:jc w:val="both"/>
      </w:pPr>
    </w:p>
    <w:p w:rsidR="009D6249" w:rsidRDefault="009D6249" w:rsidP="009D6249">
      <w:pPr>
        <w:spacing w:after="0" w:line="240" w:lineRule="auto"/>
        <w:jc w:val="both"/>
      </w:pPr>
      <w:r>
        <w:t xml:space="preserve">The current series covers wholesale trade intermediaries in the National Capital Region (NCR) to represent Luzon and Cebu City and Davao City, to represent </w:t>
      </w:r>
      <w:proofErr w:type="spellStart"/>
      <w:r>
        <w:t>Visayas</w:t>
      </w:r>
      <w:proofErr w:type="spellEnd"/>
      <w:r>
        <w:t xml:space="preserve"> and Mindanao, respectively.</w:t>
      </w:r>
    </w:p>
    <w:p w:rsidR="009D6249" w:rsidRDefault="009D6249" w:rsidP="009D6249">
      <w:pPr>
        <w:spacing w:after="0" w:line="240" w:lineRule="auto"/>
        <w:jc w:val="both"/>
      </w:pPr>
      <w:bookmarkStart w:id="0" w:name="_GoBack"/>
      <w:bookmarkEnd w:id="0"/>
    </w:p>
    <w:p w:rsidR="009D6249" w:rsidRDefault="009D6249" w:rsidP="009D6249">
      <w:pPr>
        <w:spacing w:after="0" w:line="240" w:lineRule="auto"/>
        <w:jc w:val="both"/>
      </w:pPr>
    </w:p>
    <w:p w:rsidR="009D6249" w:rsidRPr="009D6249" w:rsidRDefault="009D6249" w:rsidP="009D6249">
      <w:pPr>
        <w:spacing w:after="0" w:line="240" w:lineRule="auto"/>
        <w:jc w:val="both"/>
        <w:rPr>
          <w:i/>
        </w:rPr>
      </w:pPr>
    </w:p>
    <w:p w:rsidR="009D6249" w:rsidRPr="009D6249" w:rsidRDefault="009D6249" w:rsidP="009D6249">
      <w:pPr>
        <w:spacing w:after="0" w:line="240" w:lineRule="auto"/>
        <w:jc w:val="both"/>
        <w:rPr>
          <w:i/>
        </w:rPr>
      </w:pPr>
      <w:r w:rsidRPr="009D6249">
        <w:rPr>
          <w:i/>
        </w:rPr>
        <w:t>Sources of Data and Methodology</w:t>
      </w:r>
    </w:p>
    <w:p w:rsidR="009D6249" w:rsidRDefault="009D6249" w:rsidP="009D6249">
      <w:pPr>
        <w:spacing w:after="0" w:line="240" w:lineRule="auto"/>
        <w:jc w:val="both"/>
      </w:pPr>
    </w:p>
    <w:p w:rsidR="009D6249" w:rsidRDefault="009D6249" w:rsidP="009D6249">
      <w:pPr>
        <w:spacing w:after="0" w:line="240" w:lineRule="auto"/>
        <w:jc w:val="both"/>
        <w:rPr>
          <w:rFonts w:eastAsia="Times New Roman"/>
          <w:color w:val="000000"/>
        </w:rPr>
      </w:pPr>
      <w:r w:rsidRPr="00B8153A">
        <w:rPr>
          <w:rFonts w:eastAsia="Times New Roman"/>
          <w:color w:val="000000"/>
        </w:rPr>
        <w:t xml:space="preserve">The </w:t>
      </w:r>
      <w:r>
        <w:rPr>
          <w:rFonts w:eastAsia="Times New Roman"/>
          <w:b/>
          <w:color w:val="000000"/>
        </w:rPr>
        <w:t>Wholesale Price Index</w:t>
      </w:r>
      <w:r w:rsidRPr="00B8153A">
        <w:rPr>
          <w:rFonts w:eastAsia="Times New Roman"/>
          <w:color w:val="000000"/>
        </w:rPr>
        <w:t xml:space="preserve"> is generated by the Philippine Statistics Authority (PSA</w:t>
      </w:r>
      <w:r>
        <w:rPr>
          <w:rFonts w:eastAsia="Times New Roman"/>
          <w:color w:val="000000"/>
        </w:rPr>
        <w:t xml:space="preserve">). </w:t>
      </w:r>
      <w:r w:rsidRPr="00814A17">
        <w:rPr>
          <w:rFonts w:eastAsia="Times New Roman"/>
          <w:color w:val="000000"/>
        </w:rPr>
        <w:t>Each commodity in the market basket has at most six price</w:t>
      </w:r>
      <w:r>
        <w:rPr>
          <w:rFonts w:eastAsia="Times New Roman"/>
          <w:color w:val="000000"/>
        </w:rPr>
        <w:t xml:space="preserve"> </w:t>
      </w:r>
      <w:r w:rsidRPr="00814A17">
        <w:rPr>
          <w:rFonts w:eastAsia="Times New Roman"/>
          <w:color w:val="000000"/>
        </w:rPr>
        <w:t>quotations taken from six different wholesale sample outlets.</w:t>
      </w:r>
      <w:r>
        <w:rPr>
          <w:rFonts w:eastAsia="Times New Roman"/>
          <w:color w:val="000000"/>
        </w:rPr>
        <w:t xml:space="preserve"> </w:t>
      </w:r>
      <w:r w:rsidRPr="00814A17">
        <w:rPr>
          <w:rFonts w:eastAsia="Times New Roman"/>
          <w:color w:val="000000"/>
        </w:rPr>
        <w:t>During the reference month, price collection for agricultural</w:t>
      </w:r>
      <w:r>
        <w:rPr>
          <w:rFonts w:eastAsia="Times New Roman"/>
          <w:color w:val="000000"/>
        </w:rPr>
        <w:t xml:space="preserve"> </w:t>
      </w:r>
      <w:r w:rsidRPr="00814A17">
        <w:rPr>
          <w:rFonts w:eastAsia="Times New Roman"/>
          <w:color w:val="000000"/>
        </w:rPr>
        <w:t>food items/unprocessed food items is done weekly every</w:t>
      </w:r>
      <w:r>
        <w:rPr>
          <w:rFonts w:eastAsia="Times New Roman"/>
          <w:color w:val="000000"/>
        </w:rPr>
        <w:t xml:space="preserve"> </w:t>
      </w:r>
      <w:r w:rsidRPr="00814A17">
        <w:rPr>
          <w:rFonts w:eastAsia="Times New Roman"/>
          <w:color w:val="000000"/>
        </w:rPr>
        <w:t>Thursday/Friday; for processed food items and beverages, during</w:t>
      </w:r>
      <w:r>
        <w:rPr>
          <w:rFonts w:eastAsia="Times New Roman"/>
          <w:color w:val="000000"/>
        </w:rPr>
        <w:t xml:space="preserve"> </w:t>
      </w:r>
      <w:r w:rsidRPr="00814A17">
        <w:rPr>
          <w:rFonts w:eastAsia="Times New Roman"/>
          <w:color w:val="000000"/>
        </w:rPr>
        <w:t>the 2</w:t>
      </w:r>
      <w:r w:rsidRPr="00814A17">
        <w:rPr>
          <w:rFonts w:eastAsia="Times New Roman"/>
          <w:color w:val="000000"/>
          <w:vertAlign w:val="superscript"/>
        </w:rPr>
        <w:t>nd</w:t>
      </w:r>
      <w:r>
        <w:rPr>
          <w:rFonts w:eastAsia="Times New Roman"/>
          <w:color w:val="000000"/>
        </w:rPr>
        <w:t xml:space="preserve"> </w:t>
      </w:r>
      <w:r w:rsidRPr="00814A17">
        <w:rPr>
          <w:rFonts w:eastAsia="Times New Roman"/>
          <w:color w:val="000000"/>
        </w:rPr>
        <w:t>and 4</w:t>
      </w:r>
      <w:r w:rsidRPr="00814A17">
        <w:rPr>
          <w:rFonts w:eastAsia="Times New Roman"/>
          <w:color w:val="000000"/>
          <w:vertAlign w:val="superscript"/>
        </w:rPr>
        <w:t>th</w:t>
      </w:r>
      <w:r>
        <w:rPr>
          <w:rFonts w:eastAsia="Times New Roman"/>
          <w:color w:val="000000"/>
        </w:rPr>
        <w:t xml:space="preserve"> </w:t>
      </w:r>
      <w:r w:rsidRPr="00814A17">
        <w:rPr>
          <w:rFonts w:eastAsia="Times New Roman"/>
          <w:color w:val="000000"/>
        </w:rPr>
        <w:t>week; and for tobacco and non-food items, during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the </w:t>
      </w:r>
      <w:r w:rsidRPr="00814A17">
        <w:rPr>
          <w:rFonts w:eastAsia="Times New Roman"/>
          <w:color w:val="000000"/>
        </w:rPr>
        <w:t>4</w:t>
      </w:r>
      <w:r w:rsidRPr="00814A17">
        <w:rPr>
          <w:rFonts w:eastAsia="Times New Roman"/>
          <w:color w:val="000000"/>
          <w:vertAlign w:val="superscript"/>
        </w:rPr>
        <w:t>th</w:t>
      </w:r>
      <w:r>
        <w:rPr>
          <w:rFonts w:eastAsia="Times New Roman"/>
          <w:color w:val="000000"/>
        </w:rPr>
        <w:t xml:space="preserve"> </w:t>
      </w:r>
      <w:r w:rsidRPr="00814A17">
        <w:rPr>
          <w:rFonts w:eastAsia="Times New Roman"/>
          <w:color w:val="000000"/>
        </w:rPr>
        <w:t>week.</w:t>
      </w:r>
      <w:r>
        <w:rPr>
          <w:rFonts w:eastAsia="Times New Roman"/>
          <w:color w:val="000000"/>
        </w:rPr>
        <w:t xml:space="preserve"> These price quotations are used to compute the WPI using the weighted arithmetic mean of price relatives with fixed base period and weights (</w:t>
      </w:r>
      <w:proofErr w:type="spellStart"/>
      <w:r w:rsidRPr="006272C2">
        <w:rPr>
          <w:rFonts w:eastAsia="Times New Roman"/>
          <w:i/>
          <w:color w:val="000000"/>
        </w:rPr>
        <w:t>Laspeyres</w:t>
      </w:r>
      <w:proofErr w:type="spellEnd"/>
      <w:r>
        <w:rPr>
          <w:rFonts w:eastAsia="Times New Roman"/>
          <w:i/>
          <w:color w:val="000000"/>
        </w:rPr>
        <w:t>’</w:t>
      </w:r>
      <w:r>
        <w:rPr>
          <w:rFonts w:eastAsia="Times New Roman"/>
          <w:color w:val="000000"/>
        </w:rPr>
        <w:t xml:space="preserve"> formula).</w:t>
      </w:r>
    </w:p>
    <w:p w:rsidR="009D6249" w:rsidRDefault="009D6249" w:rsidP="009D6249">
      <w:pPr>
        <w:spacing w:after="0" w:line="240" w:lineRule="auto"/>
        <w:jc w:val="both"/>
        <w:rPr>
          <w:rFonts w:eastAsia="Times New Roman"/>
          <w:color w:val="000000"/>
        </w:rPr>
      </w:pPr>
    </w:p>
    <w:p w:rsidR="009D6249" w:rsidRDefault="009D6249" w:rsidP="009D6249">
      <w:pPr>
        <w:spacing w:after="0"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present series uses 1998 as the base period. The overall weights are computed based on the 1994 Input-Output table. </w:t>
      </w:r>
      <w:r w:rsidRPr="00C77075">
        <w:rPr>
          <w:rFonts w:eastAsia="Times New Roman"/>
          <w:color w:val="000000"/>
        </w:rPr>
        <w:t>Meanwhile, the</w:t>
      </w:r>
      <w:r>
        <w:rPr>
          <w:rFonts w:eastAsia="Times New Roman"/>
          <w:color w:val="000000"/>
        </w:rPr>
        <w:t xml:space="preserve"> </w:t>
      </w:r>
      <w:r w:rsidRPr="00C77075">
        <w:rPr>
          <w:rFonts w:eastAsia="Times New Roman"/>
          <w:color w:val="000000"/>
        </w:rPr>
        <w:t xml:space="preserve">1994 Census of Establishments conducted by the </w:t>
      </w:r>
      <w:r>
        <w:rPr>
          <w:rFonts w:eastAsia="Times New Roman"/>
          <w:color w:val="000000"/>
        </w:rPr>
        <w:t>PSA/NSO</w:t>
      </w:r>
      <w:r w:rsidRPr="00C77075">
        <w:rPr>
          <w:rFonts w:eastAsia="Times New Roman"/>
          <w:color w:val="000000"/>
        </w:rPr>
        <w:t xml:space="preserve"> was used as basis for the corresponding</w:t>
      </w:r>
      <w:r>
        <w:rPr>
          <w:rFonts w:eastAsia="Times New Roman"/>
          <w:color w:val="000000"/>
        </w:rPr>
        <w:t xml:space="preserve"> </w:t>
      </w:r>
      <w:r w:rsidRPr="00C77075">
        <w:rPr>
          <w:rFonts w:eastAsia="Times New Roman"/>
          <w:color w:val="000000"/>
        </w:rPr>
        <w:t>weights for the areas covered. The percentage contribution of</w:t>
      </w:r>
      <w:r>
        <w:rPr>
          <w:rFonts w:eastAsia="Times New Roman"/>
          <w:color w:val="000000"/>
        </w:rPr>
        <w:t xml:space="preserve"> </w:t>
      </w:r>
      <w:r w:rsidRPr="00C77075">
        <w:rPr>
          <w:rFonts w:eastAsia="Times New Roman"/>
          <w:color w:val="000000"/>
        </w:rPr>
        <w:t>each of these areas to the total wholesale trade transaction</w:t>
      </w:r>
      <w:r>
        <w:rPr>
          <w:rFonts w:eastAsia="Times New Roman"/>
          <w:color w:val="000000"/>
        </w:rPr>
        <w:t xml:space="preserve"> </w:t>
      </w:r>
      <w:r w:rsidRPr="00C77075">
        <w:rPr>
          <w:rFonts w:eastAsia="Times New Roman"/>
          <w:color w:val="000000"/>
        </w:rPr>
        <w:t>was computed</w:t>
      </w:r>
      <w:r>
        <w:rPr>
          <w:rFonts w:eastAsia="Times New Roman"/>
          <w:color w:val="000000"/>
        </w:rPr>
        <w:t>.</w:t>
      </w:r>
    </w:p>
    <w:p w:rsidR="009D6249" w:rsidRDefault="009D6249" w:rsidP="009D6249">
      <w:pPr>
        <w:spacing w:after="0" w:line="240" w:lineRule="auto"/>
        <w:jc w:val="both"/>
      </w:pPr>
    </w:p>
    <w:p w:rsidR="00150D88" w:rsidRDefault="00150D88"/>
    <w:sectPr w:rsidR="0015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480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3910"/>
    <w:multiLevelType w:val="hybridMultilevel"/>
    <w:tmpl w:val="4C9C6550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49"/>
    <w:rsid w:val="00150D88"/>
    <w:rsid w:val="009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2015-08-25T06:18:00Z</dcterms:created>
  <dcterms:modified xsi:type="dcterms:W3CDTF">2015-08-25T06:23:00Z</dcterms:modified>
</cp:coreProperties>
</file>