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228B" w14:textId="456CA05B" w:rsidR="00FB76B7" w:rsidRPr="00FB76B7" w:rsidRDefault="00FB76B7" w:rsidP="00F30771">
      <w:pPr>
        <w:pStyle w:val="paragraph"/>
        <w:spacing w:before="0" w:beforeAutospacing="0" w:after="0" w:afterAutospacing="0" w:line="480" w:lineRule="auto"/>
        <w:ind w:right="4"/>
        <w:jc w:val="both"/>
        <w:textAlignment w:val="baseline"/>
        <w:rPr>
          <w:lang w:val="fr-FR"/>
        </w:rPr>
      </w:pPr>
      <w:r w:rsidRPr="00FB76B7">
        <w:rPr>
          <w:rFonts w:eastAsiaTheme="minorHAnsi"/>
          <w:noProof/>
          <w:lang w:eastAsia="en-US"/>
        </w:rPr>
        <w:drawing>
          <wp:anchor distT="0" distB="0" distL="114300" distR="114300" simplePos="0" relativeHeight="251658240" behindDoc="0" locked="0" layoutInCell="1" allowOverlap="1" wp14:anchorId="0526CA6B" wp14:editId="7F13638E">
            <wp:simplePos x="0" y="0"/>
            <wp:positionH relativeFrom="page">
              <wp:posOffset>4323477</wp:posOffset>
            </wp:positionH>
            <wp:positionV relativeFrom="paragraph">
              <wp:posOffset>5080</wp:posOffset>
            </wp:positionV>
            <wp:extent cx="3239770" cy="2407920"/>
            <wp:effectExtent l="0" t="0" r="0" b="0"/>
            <wp:wrapThrough wrapText="bothSides">
              <wp:wrapPolygon edited="0">
                <wp:start x="0" y="0"/>
                <wp:lineTo x="0" y="21361"/>
                <wp:lineTo x="21465" y="21361"/>
                <wp:lineTo x="21465"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77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6B7">
        <w:rPr>
          <w:rStyle w:val="normaltextrun"/>
          <w:lang w:val="fr-FR"/>
        </w:rPr>
        <w:t xml:space="preserve">Ce rapport est la première partie du projet de </w:t>
      </w:r>
      <w:r w:rsidRPr="00FB76B7">
        <w:rPr>
          <w:rStyle w:val="normaltextrun"/>
          <w:b/>
          <w:bCs/>
          <w:lang w:val="fr-FR"/>
        </w:rPr>
        <w:t>prévision de la somme de la demande horaire d’électricité pour jour t +1</w:t>
      </w:r>
      <w:r w:rsidRPr="00FB76B7">
        <w:rPr>
          <w:rStyle w:val="normaltextrun"/>
          <w:lang w:val="fr-FR"/>
        </w:rPr>
        <w:t>, dans la zone du Texas composée des régions</w:t>
      </w:r>
      <w:r w:rsidR="00CD1EDC">
        <w:rPr>
          <w:rStyle w:val="normaltextrun"/>
          <w:lang w:val="fr-FR"/>
        </w:rPr>
        <w:t xml:space="preserve"> </w:t>
      </w:r>
      <w:proofErr w:type="spellStart"/>
      <w:r w:rsidR="00CD1EDC" w:rsidRPr="00CD1EDC">
        <w:rPr>
          <w:rStyle w:val="normaltextrun"/>
          <w:b/>
          <w:bCs/>
          <w:lang w:val="fr-FR"/>
        </w:rPr>
        <w:t>contigu</w:t>
      </w:r>
      <w:r w:rsidR="00CD1EDC">
        <w:rPr>
          <w:rStyle w:val="normaltextrun"/>
          <w:b/>
          <w:bCs/>
          <w:lang w:val="fr-FR"/>
        </w:rPr>
        <w:t>e</w:t>
      </w:r>
      <w:r w:rsidR="00CD1EDC" w:rsidRPr="00CD1EDC">
        <w:rPr>
          <w:rStyle w:val="normaltextrun"/>
          <w:b/>
          <w:bCs/>
          <w:lang w:val="fr-FR"/>
        </w:rPr>
        <w:t>s</w:t>
      </w:r>
      <w:proofErr w:type="spellEnd"/>
      <w:r w:rsidRPr="00FB76B7">
        <w:rPr>
          <w:rStyle w:val="normaltextrun"/>
          <w:lang w:val="fr-FR"/>
        </w:rPr>
        <w:t xml:space="preserve"> Nord, Centrale Nord, et Est, desservies par le </w:t>
      </w:r>
      <w:r w:rsidRPr="00FB76B7">
        <w:rPr>
          <w:rStyle w:val="normaltextrun"/>
          <w:i/>
          <w:iCs/>
          <w:lang w:val="fr-FR"/>
        </w:rPr>
        <w:t xml:space="preserve">Electric </w:t>
      </w:r>
      <w:proofErr w:type="spellStart"/>
      <w:r w:rsidRPr="00FB76B7">
        <w:rPr>
          <w:rStyle w:val="normaltextrun"/>
          <w:i/>
          <w:iCs/>
          <w:lang w:val="fr-FR"/>
        </w:rPr>
        <w:t>Reliability</w:t>
      </w:r>
      <w:proofErr w:type="spellEnd"/>
      <w:r w:rsidRPr="00FB76B7">
        <w:rPr>
          <w:rStyle w:val="normaltextrun"/>
          <w:i/>
          <w:iCs/>
          <w:lang w:val="fr-FR"/>
        </w:rPr>
        <w:t xml:space="preserve"> Council of Texas </w:t>
      </w:r>
      <w:r w:rsidRPr="00FB76B7">
        <w:rPr>
          <w:rStyle w:val="normaltextrun"/>
          <w:lang w:val="fr-FR"/>
        </w:rPr>
        <w:t>(ERCOT). Nous passerons par une brève introduction d’ERCOT et des régions en analyse, une analyse exploratoire des données, l’évaluation des méthodes naïves selon des métriques d’erreur de prévision, et une description de variables explicatives et leur source.</w:t>
      </w:r>
      <w:r w:rsidRPr="00FB76B7">
        <w:rPr>
          <w:rStyle w:val="eop"/>
          <w:lang w:val="fr-FR"/>
        </w:rPr>
        <w:t> </w:t>
      </w:r>
    </w:p>
    <w:p w14:paraId="1DAA06C4" w14:textId="281D2BCE" w:rsidR="00FB76B7" w:rsidRPr="00FB76B7" w:rsidRDefault="00FB76B7" w:rsidP="0099600D">
      <w:pPr>
        <w:pStyle w:val="paragraph"/>
        <w:spacing w:before="0" w:beforeAutospacing="0" w:after="0" w:afterAutospacing="0" w:line="480" w:lineRule="auto"/>
        <w:ind w:right="-705"/>
        <w:jc w:val="both"/>
        <w:textAlignment w:val="baseline"/>
        <w:rPr>
          <w:lang w:val="fr-FR"/>
        </w:rPr>
      </w:pPr>
      <w:r w:rsidRPr="00FB76B7">
        <w:rPr>
          <w:rStyle w:val="normaltextrun"/>
          <w:b/>
          <w:bCs/>
          <w:color w:val="0070C0"/>
          <w:lang w:val="fr-FR"/>
        </w:rPr>
        <w:t>Introduction</w:t>
      </w:r>
      <w:r w:rsidRPr="00FB76B7">
        <w:rPr>
          <w:rStyle w:val="eop"/>
          <w:color w:val="0070C0"/>
          <w:lang w:val="fr-FR"/>
        </w:rPr>
        <w:t> </w:t>
      </w:r>
    </w:p>
    <w:p w14:paraId="07F2DFE0" w14:textId="45ECFE89" w:rsidR="00D96E59" w:rsidRDefault="00FB76B7" w:rsidP="0099600D">
      <w:pPr>
        <w:pStyle w:val="paragraph"/>
        <w:spacing w:before="0" w:beforeAutospacing="0" w:after="0" w:afterAutospacing="0" w:line="480" w:lineRule="auto"/>
        <w:ind w:right="4"/>
        <w:jc w:val="both"/>
        <w:textAlignment w:val="baseline"/>
        <w:rPr>
          <w:rStyle w:val="normaltextrun"/>
          <w:color w:val="000000"/>
          <w:bdr w:val="none" w:sz="0" w:space="0" w:color="auto" w:frame="1"/>
          <w:lang w:val="fr-BE"/>
        </w:rPr>
      </w:pPr>
      <w:r w:rsidRPr="00FB76B7">
        <w:rPr>
          <w:rStyle w:val="normaltextrun"/>
          <w:lang w:val="fr-FR"/>
        </w:rPr>
        <w:t xml:space="preserve">ERCOT est un operateur électrique à but non lucratif, qui gère le flux électrique de 26 millions de clients au Texas, représentant 90 % des besoins. Son système couvre 75% du territoire texan et ses membres incluent des </w:t>
      </w:r>
      <w:r>
        <w:rPr>
          <w:rStyle w:val="normaltextrun"/>
          <w:lang w:val="fr-FR"/>
        </w:rPr>
        <w:t>particuliers</w:t>
      </w:r>
      <w:r w:rsidRPr="00FB76B7">
        <w:rPr>
          <w:rStyle w:val="normaltextrun"/>
          <w:lang w:val="fr-FR"/>
        </w:rPr>
        <w:t>, des coopératives, des municipalités et des producteurs d’électricité</w:t>
      </w:r>
      <w:r w:rsidR="008E3771">
        <w:rPr>
          <w:rStyle w:val="FootnoteReference"/>
          <w:lang w:val="fr-FR"/>
        </w:rPr>
        <w:footnoteReference w:id="1"/>
      </w:r>
      <w:r w:rsidRPr="00FB76B7">
        <w:rPr>
          <w:rStyle w:val="normaltextrun"/>
          <w:lang w:val="fr-FR"/>
        </w:rPr>
        <w:t>.</w:t>
      </w:r>
      <w:r w:rsidR="00A82E42">
        <w:rPr>
          <w:rStyle w:val="normaltextrun"/>
          <w:lang w:val="fr-FR"/>
        </w:rPr>
        <w:t xml:space="preserve"> </w:t>
      </w:r>
      <w:r w:rsidRPr="00FB76B7">
        <w:rPr>
          <w:rStyle w:val="normaltextrun"/>
          <w:lang w:val="fr-FR"/>
        </w:rPr>
        <w:t>En 1970, ERCOT se forme pour répondre aux exigences fédérales. Cependant, la grille électrique texane n’est pas soumise à la régulation fédérale et se trouve isolée des interconnections Est et Ouest américaines</w:t>
      </w:r>
      <w:r w:rsidR="00A5231A">
        <w:rPr>
          <w:rStyle w:val="normaltextrun"/>
          <w:lang w:val="fr-FR"/>
        </w:rPr>
        <w:t xml:space="preserve"> (bloquant toute fourniture</w:t>
      </w:r>
      <w:r w:rsidR="00754E53">
        <w:rPr>
          <w:rStyle w:val="normaltextrun"/>
          <w:lang w:val="fr-FR"/>
        </w:rPr>
        <w:t xml:space="preserve"> extérieure</w:t>
      </w:r>
      <w:r w:rsidR="00D96E59">
        <w:rPr>
          <w:rStyle w:val="normaltextrun"/>
          <w:lang w:val="fr-FR"/>
        </w:rPr>
        <w:t xml:space="preserve"> majeure</w:t>
      </w:r>
      <w:r w:rsidR="00A5231A">
        <w:rPr>
          <w:rStyle w:val="normaltextrun"/>
          <w:lang w:val="fr-FR"/>
        </w:rPr>
        <w:t xml:space="preserve"> en électricité</w:t>
      </w:r>
      <w:r w:rsidR="00754E53">
        <w:rPr>
          <w:rStyle w:val="normaltextrun"/>
          <w:lang w:val="fr-FR"/>
        </w:rPr>
        <w:t xml:space="preserve"> vers le Texas</w:t>
      </w:r>
      <w:r w:rsidR="00A5231A">
        <w:rPr>
          <w:rStyle w:val="normaltextrun"/>
          <w:lang w:val="fr-FR"/>
        </w:rPr>
        <w:t>)</w:t>
      </w:r>
      <w:r w:rsidR="008E3771">
        <w:rPr>
          <w:rStyle w:val="FootnoteReference"/>
          <w:lang w:val="fr-FR"/>
        </w:rPr>
        <w:footnoteReference w:id="2"/>
      </w:r>
      <w:r w:rsidR="00A5231A">
        <w:rPr>
          <w:rStyle w:val="normaltextrun"/>
          <w:lang w:val="fr-FR"/>
        </w:rPr>
        <w:t>.</w:t>
      </w:r>
      <w:r w:rsidRPr="00FB76B7">
        <w:rPr>
          <w:rStyle w:val="normaltextrun"/>
          <w:lang w:val="fr-FR"/>
        </w:rPr>
        <w:t xml:space="preserve"> ERCOT a été frappé de coupures d’électricité en février 2011 et du 13 au 17 février 2021, dans les deux cas, à la suite d'une vague de froid extrême</w:t>
      </w:r>
      <w:r w:rsidR="008E3771">
        <w:rPr>
          <w:rStyle w:val="FootnoteReference"/>
          <w:lang w:val="fr-FR"/>
        </w:rPr>
        <w:footnoteReference w:id="3"/>
      </w:r>
      <w:r w:rsidRPr="00FB76B7">
        <w:rPr>
          <w:rStyle w:val="normaltextrun"/>
          <w:lang w:val="fr-FR"/>
        </w:rPr>
        <w:t xml:space="preserve">. Un rapport de la NERC de 2019 alertait déjà que le réseau ERCOT avait l’une des réserves de marges anticipées les plus basses aux USA, l’empêchant de répondre aux pics de demande d’électricité pendant les </w:t>
      </w:r>
      <w:r w:rsidRPr="00FB76B7">
        <w:rPr>
          <w:rStyle w:val="normaltextrun"/>
          <w:lang w:val="fr-FR"/>
        </w:rPr>
        <w:lastRenderedPageBreak/>
        <w:t>grands froids et l’été</w:t>
      </w:r>
      <w:r w:rsidR="00A5231A">
        <w:rPr>
          <w:rStyle w:val="normaltextrun"/>
          <w:lang w:val="fr-FR"/>
        </w:rPr>
        <w:t>, notamment en 2011 et 2021</w:t>
      </w:r>
      <w:r w:rsidR="00F9625C">
        <w:rPr>
          <w:rStyle w:val="FootnoteReference"/>
          <w:lang w:val="fr-FR"/>
        </w:rPr>
        <w:footnoteReference w:id="4"/>
      </w:r>
      <w:r w:rsidRPr="00FB76B7">
        <w:rPr>
          <w:rStyle w:val="normaltextrun"/>
          <w:lang w:val="fr-FR"/>
        </w:rPr>
        <w:t xml:space="preserve">. </w:t>
      </w:r>
      <w:r>
        <w:rPr>
          <w:rStyle w:val="eop"/>
          <w:lang w:val="fr-FR"/>
        </w:rPr>
        <w:t xml:space="preserve">Le cœur économique se trouve dans la région </w:t>
      </w:r>
      <w:r w:rsidRPr="00FB76B7">
        <w:rPr>
          <w:rStyle w:val="eop"/>
          <w:i/>
          <w:iCs/>
          <w:lang w:val="fr-FR"/>
        </w:rPr>
        <w:t>North Central</w:t>
      </w:r>
      <w:r w:rsidR="00A20FE1">
        <w:rPr>
          <w:rStyle w:val="eop"/>
          <w:i/>
          <w:iCs/>
          <w:lang w:val="fr-FR"/>
        </w:rPr>
        <w:t xml:space="preserve"> </w:t>
      </w:r>
      <w:r w:rsidR="00A20FE1">
        <w:rPr>
          <w:rStyle w:val="eop"/>
          <w:lang w:val="fr-FR"/>
        </w:rPr>
        <w:t>représentant près de 90% de la demande d’électricité</w:t>
      </w:r>
      <w:r w:rsidR="004C63AF">
        <w:rPr>
          <w:rStyle w:val="eop"/>
          <w:lang w:val="fr-FR"/>
        </w:rPr>
        <w:t>, en particulier dans le centre urbain de Dallas</w:t>
      </w:r>
      <w:r w:rsidR="00683C9E" w:rsidRPr="00683C9E">
        <w:rPr>
          <w:rStyle w:val="eop"/>
          <w:lang w:val="fr-FR"/>
        </w:rPr>
        <w:t>-</w:t>
      </w:r>
      <w:r w:rsidR="004C63AF">
        <w:rPr>
          <w:rStyle w:val="eop"/>
          <w:lang w:val="fr-FR"/>
        </w:rPr>
        <w:t>Fort Worth.</w:t>
      </w:r>
      <w:r w:rsidR="000F56E8">
        <w:rPr>
          <w:rStyle w:val="eop"/>
          <w:lang w:val="fr-FR"/>
        </w:rPr>
        <w:t xml:space="preserve"> </w:t>
      </w:r>
      <w:r w:rsidR="000F56E8" w:rsidRPr="000F56E8">
        <w:rPr>
          <w:rStyle w:val="eop"/>
          <w:i/>
          <w:iCs/>
          <w:lang w:val="fr-FR"/>
        </w:rPr>
        <w:t>North Central</w:t>
      </w:r>
      <w:r w:rsidR="000F56E8">
        <w:rPr>
          <w:rStyle w:val="eop"/>
          <w:lang w:val="fr-FR"/>
        </w:rPr>
        <w:t xml:space="preserve"> est plus </w:t>
      </w:r>
      <w:r w:rsidR="00795342">
        <w:rPr>
          <w:rStyle w:val="eop"/>
          <w:lang w:val="fr-FR"/>
        </w:rPr>
        <w:t>résidentielle</w:t>
      </w:r>
      <w:r w:rsidR="00683C9E">
        <w:rPr>
          <w:rStyle w:val="eop"/>
          <w:lang w:val="fr-FR"/>
        </w:rPr>
        <w:t xml:space="preserve"> et</w:t>
      </w:r>
      <w:r w:rsidR="00754E53">
        <w:rPr>
          <w:rStyle w:val="eop"/>
          <w:lang w:val="fr-FR"/>
        </w:rPr>
        <w:t xml:space="preserve"> urbaine</w:t>
      </w:r>
      <w:r w:rsidR="0099600D">
        <w:rPr>
          <w:rStyle w:val="eop"/>
          <w:lang w:val="fr-FR"/>
        </w:rPr>
        <w:t xml:space="preserve"> </w:t>
      </w:r>
      <w:r w:rsidR="000F56E8">
        <w:rPr>
          <w:rStyle w:val="eop"/>
          <w:lang w:val="fr-FR"/>
        </w:rPr>
        <w:t>que les deux autres</w:t>
      </w:r>
      <w:r w:rsidR="00754E53">
        <w:rPr>
          <w:rStyle w:val="eop"/>
          <w:lang w:val="fr-FR"/>
        </w:rPr>
        <w:t xml:space="preserve"> régions</w:t>
      </w:r>
      <w:r w:rsidR="00F9625C">
        <w:rPr>
          <w:rStyle w:val="FootnoteReference"/>
          <w:lang w:val="fr-FR"/>
        </w:rPr>
        <w:footnoteReference w:id="5"/>
      </w:r>
      <w:r w:rsidR="00754E53" w:rsidRPr="00754E53">
        <w:rPr>
          <w:rStyle w:val="eop"/>
          <w:lang w:val="fr-FR"/>
        </w:rPr>
        <w:t>.</w:t>
      </w:r>
      <w:r w:rsidR="00427DA9">
        <w:rPr>
          <w:rStyle w:val="eop"/>
          <w:lang w:val="fr-FR"/>
        </w:rPr>
        <w:t xml:space="preserve"> Selon le </w:t>
      </w:r>
      <w:r w:rsidR="00427DA9" w:rsidRPr="00427DA9">
        <w:rPr>
          <w:rStyle w:val="eop"/>
          <w:i/>
          <w:iCs/>
          <w:lang w:val="fr-FR"/>
        </w:rPr>
        <w:t xml:space="preserve">US Bureau of </w:t>
      </w:r>
      <w:proofErr w:type="spellStart"/>
      <w:r w:rsidR="00427DA9" w:rsidRPr="00427DA9">
        <w:rPr>
          <w:rStyle w:val="eop"/>
          <w:i/>
          <w:iCs/>
          <w:lang w:val="fr-FR"/>
        </w:rPr>
        <w:t>Economic</w:t>
      </w:r>
      <w:proofErr w:type="spellEnd"/>
      <w:r w:rsidR="00427DA9" w:rsidRPr="00427DA9">
        <w:rPr>
          <w:rStyle w:val="eop"/>
          <w:i/>
          <w:iCs/>
          <w:lang w:val="fr-FR"/>
        </w:rPr>
        <w:t xml:space="preserve"> </w:t>
      </w:r>
      <w:proofErr w:type="spellStart"/>
      <w:r w:rsidR="00427DA9" w:rsidRPr="00427DA9">
        <w:rPr>
          <w:rStyle w:val="eop"/>
          <w:i/>
          <w:iCs/>
          <w:lang w:val="fr-FR"/>
        </w:rPr>
        <w:t>Analysis</w:t>
      </w:r>
      <w:proofErr w:type="spellEnd"/>
      <w:r w:rsidR="0099600D">
        <w:rPr>
          <w:rStyle w:val="eop"/>
          <w:i/>
          <w:iCs/>
          <w:lang w:val="fr-FR"/>
        </w:rPr>
        <w:t xml:space="preserve"> </w:t>
      </w:r>
      <w:r w:rsidR="0099600D" w:rsidRPr="0099600D">
        <w:rPr>
          <w:rStyle w:val="eop"/>
          <w:lang w:val="fr-FR"/>
        </w:rPr>
        <w:t>(BEA)</w:t>
      </w:r>
      <w:r w:rsidR="00427DA9">
        <w:rPr>
          <w:rStyle w:val="eop"/>
          <w:i/>
          <w:iCs/>
          <w:lang w:val="fr-FR"/>
        </w:rPr>
        <w:t xml:space="preserve">, </w:t>
      </w:r>
      <w:r w:rsidR="00427DA9">
        <w:rPr>
          <w:rStyle w:val="eop"/>
          <w:lang w:val="fr-FR"/>
        </w:rPr>
        <w:t>le PIB du comté de Dallas</w:t>
      </w:r>
      <w:r w:rsidR="007C11B1">
        <w:rPr>
          <w:rStyle w:val="eop"/>
          <w:lang w:val="fr-FR"/>
        </w:rPr>
        <w:t xml:space="preserve"> était de</w:t>
      </w:r>
      <w:r w:rsidR="00427DA9">
        <w:rPr>
          <w:rStyle w:val="eop"/>
          <w:lang w:val="fr-FR"/>
        </w:rPr>
        <w:t xml:space="preserve"> 239 milliards de dollars en 2020</w:t>
      </w:r>
      <w:r w:rsidR="00F9625C">
        <w:rPr>
          <w:rStyle w:val="FootnoteReference"/>
          <w:lang w:val="fr-FR"/>
        </w:rPr>
        <w:footnoteReference w:id="6"/>
      </w:r>
      <w:r w:rsidR="00F9625C">
        <w:rPr>
          <w:rStyle w:val="eop"/>
          <w:lang w:val="fr-FR"/>
        </w:rPr>
        <w:t>,</w:t>
      </w:r>
      <w:r w:rsidR="00427DA9">
        <w:rPr>
          <w:rStyle w:val="eop"/>
          <w:lang w:val="fr-FR"/>
        </w:rPr>
        <w:t xml:space="preserve"> avec une population de 2,6 millions d</w:t>
      </w:r>
      <w:r w:rsidR="00427DA9" w:rsidRPr="00427DA9">
        <w:rPr>
          <w:rStyle w:val="eop"/>
          <w:lang w:val="fr-FR"/>
        </w:rPr>
        <w:t>’</w:t>
      </w:r>
      <w:r w:rsidR="00427DA9">
        <w:rPr>
          <w:rStyle w:val="eop"/>
          <w:lang w:val="fr-FR"/>
        </w:rPr>
        <w:t>habitants</w:t>
      </w:r>
      <w:r w:rsidR="00F9625C">
        <w:rPr>
          <w:rStyle w:val="FootnoteReference"/>
          <w:lang w:val="fr-FR"/>
        </w:rPr>
        <w:footnoteReference w:id="7"/>
      </w:r>
      <w:r w:rsidR="0099600D">
        <w:rPr>
          <w:rStyle w:val="eop"/>
          <w:lang w:val="fr-FR"/>
        </w:rPr>
        <w:t xml:space="preserve">. Selon le </w:t>
      </w:r>
      <w:proofErr w:type="spellStart"/>
      <w:r w:rsidR="0099600D" w:rsidRPr="0099600D">
        <w:rPr>
          <w:rStyle w:val="eop"/>
          <w:i/>
          <w:iCs/>
          <w:lang w:val="fr-FR"/>
        </w:rPr>
        <w:t>Comptroller</w:t>
      </w:r>
      <w:proofErr w:type="spellEnd"/>
      <w:r w:rsidR="0099600D" w:rsidRPr="0099600D">
        <w:rPr>
          <w:rStyle w:val="eop"/>
          <w:i/>
          <w:iCs/>
          <w:lang w:val="fr-FR"/>
        </w:rPr>
        <w:t xml:space="preserve"> General</w:t>
      </w:r>
      <w:r w:rsidR="0099600D">
        <w:rPr>
          <w:rStyle w:val="eop"/>
          <w:i/>
          <w:iCs/>
          <w:lang w:val="fr-FR"/>
        </w:rPr>
        <w:t xml:space="preserve"> </w:t>
      </w:r>
      <w:r w:rsidR="0099600D">
        <w:rPr>
          <w:rStyle w:val="eop"/>
          <w:lang w:val="fr-FR"/>
        </w:rPr>
        <w:t>du Texas,</w:t>
      </w:r>
      <w:r w:rsidR="00674BFA">
        <w:rPr>
          <w:rStyle w:val="eop"/>
          <w:lang w:val="fr-FR"/>
        </w:rPr>
        <w:t xml:space="preserve"> </w:t>
      </w:r>
      <w:r w:rsidR="0099600D">
        <w:rPr>
          <w:rStyle w:val="eop"/>
          <w:lang w:val="fr-FR"/>
        </w:rPr>
        <w:t>l</w:t>
      </w:r>
      <w:r w:rsidR="00674BFA">
        <w:rPr>
          <w:rStyle w:val="eop"/>
          <w:lang w:val="fr-FR"/>
        </w:rPr>
        <w:t>a population de</w:t>
      </w:r>
      <w:r w:rsidR="00735CD5">
        <w:rPr>
          <w:rStyle w:val="eop"/>
          <w:lang w:val="fr-FR"/>
        </w:rPr>
        <w:t xml:space="preserve"> la métropole de</w:t>
      </w:r>
      <w:r w:rsidR="00674BFA">
        <w:rPr>
          <w:rStyle w:val="eop"/>
          <w:lang w:val="fr-FR"/>
        </w:rPr>
        <w:t xml:space="preserve"> Dallas a cru de 19</w:t>
      </w:r>
      <w:r w:rsidR="00674BFA" w:rsidRPr="00674BFA">
        <w:rPr>
          <w:rStyle w:val="eop"/>
          <w:lang w:val="fr-FR"/>
        </w:rPr>
        <w:t xml:space="preserve">% </w:t>
      </w:r>
      <w:r w:rsidR="00674BFA">
        <w:rPr>
          <w:rStyle w:val="eop"/>
          <w:lang w:val="fr-FR"/>
        </w:rPr>
        <w:t>sur la période 2010</w:t>
      </w:r>
      <w:r w:rsidR="00674BFA" w:rsidRPr="00674BFA">
        <w:rPr>
          <w:rStyle w:val="eop"/>
          <w:lang w:val="fr-FR"/>
        </w:rPr>
        <w:t>-</w:t>
      </w:r>
      <w:r w:rsidR="00674BFA">
        <w:rPr>
          <w:rStyle w:val="eop"/>
          <w:lang w:val="fr-FR"/>
        </w:rPr>
        <w:t>2019</w:t>
      </w:r>
      <w:r w:rsidR="005D5145">
        <w:rPr>
          <w:rStyle w:val="FootnoteReference"/>
          <w:lang w:val="fr-FR"/>
        </w:rPr>
        <w:footnoteReference w:id="8"/>
      </w:r>
      <w:r w:rsidR="005D5145">
        <w:rPr>
          <w:rStyle w:val="eop"/>
          <w:lang w:val="fr-FR"/>
        </w:rPr>
        <w:t xml:space="preserve">. </w:t>
      </w:r>
      <w:r w:rsidR="00683C9E">
        <w:rPr>
          <w:rStyle w:val="eop"/>
          <w:lang w:val="fr-FR"/>
        </w:rPr>
        <w:t xml:space="preserve">Le secteurs </w:t>
      </w:r>
      <w:r w:rsidR="005D5145">
        <w:rPr>
          <w:rStyle w:val="eop"/>
          <w:lang w:val="fr-FR"/>
        </w:rPr>
        <w:t>tertiaire y est aussi important que</w:t>
      </w:r>
      <w:r w:rsidR="0027266E">
        <w:rPr>
          <w:rStyle w:val="eop"/>
          <w:lang w:val="fr-FR"/>
        </w:rPr>
        <w:t xml:space="preserve"> les secteurs manufacturier, du pétrole et du gas, et les industries de l</w:t>
      </w:r>
      <w:r w:rsidR="0027266E" w:rsidRPr="0027266E">
        <w:rPr>
          <w:rStyle w:val="eop"/>
          <w:lang w:val="fr-FR"/>
        </w:rPr>
        <w:t>’</w:t>
      </w:r>
      <w:r w:rsidR="0027266E">
        <w:rPr>
          <w:rStyle w:val="eop"/>
          <w:lang w:val="fr-FR"/>
        </w:rPr>
        <w:t xml:space="preserve">aviation et de l’aérospatiale </w:t>
      </w:r>
      <w:r w:rsidR="005D5145">
        <w:rPr>
          <w:rStyle w:val="FootnoteReference"/>
          <w:lang w:val="fr-FR"/>
        </w:rPr>
        <w:footnoteReference w:id="9"/>
      </w:r>
      <w:r w:rsidR="0027266E" w:rsidRPr="0027266E">
        <w:rPr>
          <w:rStyle w:val="eop"/>
          <w:lang w:val="fr-FR"/>
        </w:rPr>
        <w:t>.</w:t>
      </w:r>
      <w:r w:rsidR="0027266E">
        <w:rPr>
          <w:rStyle w:val="eop"/>
          <w:lang w:val="fr-FR"/>
        </w:rPr>
        <w:t xml:space="preserve"> </w:t>
      </w:r>
      <w:r w:rsidR="00445568">
        <w:rPr>
          <w:rStyle w:val="eop"/>
          <w:lang w:val="fr-FR"/>
        </w:rPr>
        <w:t xml:space="preserve">La région </w:t>
      </w:r>
      <w:r w:rsidR="00445568" w:rsidRPr="00CC3AB3">
        <w:rPr>
          <w:rStyle w:val="eop"/>
          <w:i/>
          <w:iCs/>
          <w:lang w:val="fr-FR"/>
        </w:rPr>
        <w:t>North</w:t>
      </w:r>
      <w:r w:rsidR="00445568">
        <w:rPr>
          <w:rStyle w:val="eop"/>
          <w:lang w:val="fr-FR"/>
        </w:rPr>
        <w:t xml:space="preserve"> </w:t>
      </w:r>
      <w:r w:rsidR="005B295B">
        <w:rPr>
          <w:rStyle w:val="eop"/>
          <w:lang w:val="fr-FR"/>
        </w:rPr>
        <w:t>a un pourcentage d</w:t>
      </w:r>
      <w:r w:rsidR="005B295B" w:rsidRPr="005B295B">
        <w:rPr>
          <w:rStyle w:val="eop"/>
          <w:lang w:val="fr-FR"/>
        </w:rPr>
        <w:t>’activit</w:t>
      </w:r>
      <w:r w:rsidR="005B295B">
        <w:rPr>
          <w:rStyle w:val="eop"/>
          <w:lang w:val="fr-FR"/>
        </w:rPr>
        <w:t>és agricole et industrielle plus important</w:t>
      </w:r>
      <w:r w:rsidR="005B295B" w:rsidRPr="005B295B">
        <w:rPr>
          <w:rStyle w:val="eop"/>
          <w:lang w:val="fr-FR"/>
        </w:rPr>
        <w:t>.</w:t>
      </w:r>
      <w:r w:rsidR="005B295B">
        <w:rPr>
          <w:rStyle w:val="eop"/>
          <w:lang w:val="fr-FR"/>
        </w:rPr>
        <w:t xml:space="preserve"> Les populations et PIB des deux grandes villes, </w:t>
      </w:r>
      <w:r w:rsidR="00DF0CD4">
        <w:rPr>
          <w:rStyle w:val="eop"/>
          <w:lang w:val="fr-FR"/>
        </w:rPr>
        <w:t xml:space="preserve">soit </w:t>
      </w:r>
      <w:r w:rsidR="005B295B">
        <w:rPr>
          <w:rStyle w:val="eop"/>
          <w:lang w:val="fr-FR"/>
        </w:rPr>
        <w:t xml:space="preserve">Lubbock et </w:t>
      </w:r>
      <w:r w:rsidR="00D16BEF">
        <w:rPr>
          <w:rStyle w:val="eop"/>
          <w:lang w:val="fr-FR"/>
        </w:rPr>
        <w:t xml:space="preserve">Wichita </w:t>
      </w:r>
      <w:proofErr w:type="spellStart"/>
      <w:r w:rsidR="00D16BEF">
        <w:rPr>
          <w:rStyle w:val="eop"/>
          <w:lang w:val="fr-FR"/>
        </w:rPr>
        <w:t>Falls</w:t>
      </w:r>
      <w:proofErr w:type="spellEnd"/>
      <w:r w:rsidR="005B295B">
        <w:rPr>
          <w:rStyle w:val="eop"/>
          <w:lang w:val="fr-FR"/>
        </w:rPr>
        <w:t>, sont respectivement de 310</w:t>
      </w:r>
      <w:r w:rsidR="00D16BEF">
        <w:rPr>
          <w:rStyle w:val="eop"/>
          <w:lang w:val="fr-FR"/>
        </w:rPr>
        <w:t>,</w:t>
      </w:r>
      <w:r w:rsidR="005B295B">
        <w:rPr>
          <w:rStyle w:val="eop"/>
          <w:lang w:val="fr-FR"/>
        </w:rPr>
        <w:t>000 habitants</w:t>
      </w:r>
      <w:r w:rsidR="005D5145">
        <w:rPr>
          <w:rStyle w:val="FootnoteReference"/>
          <w:lang w:val="fr-FR"/>
        </w:rPr>
        <w:footnoteReference w:id="10"/>
      </w:r>
      <w:r w:rsidR="005B295B">
        <w:rPr>
          <w:rStyle w:val="eop"/>
          <w:lang w:val="fr-FR"/>
        </w:rPr>
        <w:t xml:space="preserve"> et</w:t>
      </w:r>
      <w:r w:rsidR="00D16BEF">
        <w:rPr>
          <w:rStyle w:val="eop"/>
          <w:lang w:val="fr-FR"/>
        </w:rPr>
        <w:t xml:space="preserve"> 12 milliards de dollars</w:t>
      </w:r>
      <w:r w:rsidR="005D5145">
        <w:rPr>
          <w:rStyle w:val="FootnoteReference"/>
          <w:lang w:val="fr-FR"/>
        </w:rPr>
        <w:footnoteReference w:id="11"/>
      </w:r>
      <w:r w:rsidR="00D16BEF">
        <w:rPr>
          <w:rStyle w:val="eop"/>
          <w:lang w:val="fr-FR"/>
        </w:rPr>
        <w:t>, pour l’un, et de 129,500 habitants et de 5 milliards</w:t>
      </w:r>
      <w:r w:rsidR="005B295B">
        <w:rPr>
          <w:rStyle w:val="eop"/>
          <w:lang w:val="fr-FR"/>
        </w:rPr>
        <w:t xml:space="preserve"> </w:t>
      </w:r>
      <w:r w:rsidR="00D16BEF">
        <w:rPr>
          <w:rStyle w:val="eop"/>
          <w:lang w:val="fr-FR"/>
        </w:rPr>
        <w:t>de dollars pour l’autre</w:t>
      </w:r>
      <w:r w:rsidR="005E42D6">
        <w:rPr>
          <w:rStyle w:val="eop"/>
          <w:lang w:val="fr-FR"/>
        </w:rPr>
        <w:t xml:space="preserve"> (2020)</w:t>
      </w:r>
      <w:r w:rsidR="00735CD5" w:rsidRPr="00410B1E">
        <w:rPr>
          <w:rStyle w:val="eop"/>
          <w:lang w:val="fr-FR"/>
        </w:rPr>
        <w:t>. Ces 2 m</w:t>
      </w:r>
      <w:r w:rsidR="00735CD5">
        <w:rPr>
          <w:rStyle w:val="eop"/>
          <w:lang w:val="fr-FR"/>
        </w:rPr>
        <w:t>étrop</w:t>
      </w:r>
      <w:r w:rsidR="00410B1E" w:rsidRPr="00410B1E">
        <w:rPr>
          <w:rStyle w:val="eop"/>
          <w:lang w:val="fr-FR"/>
        </w:rPr>
        <w:t xml:space="preserve">oles ont cru de 11% et 0.5% respectivement de 2010 </w:t>
      </w:r>
      <w:r w:rsidR="00410B1E">
        <w:rPr>
          <w:rStyle w:val="eop"/>
          <w:lang w:val="fr-FR"/>
        </w:rPr>
        <w:t>à 2019</w:t>
      </w:r>
      <w:r w:rsidR="005E42D6">
        <w:rPr>
          <w:rStyle w:val="eop"/>
          <w:lang w:val="fr-FR"/>
        </w:rPr>
        <w:t>. La région Est est spécialisée dans le secteur pétrolier et gas de schiste. La ville principale y est Tyler avec 2</w:t>
      </w:r>
      <w:r w:rsidR="00410B1E">
        <w:rPr>
          <w:rStyle w:val="eop"/>
          <w:lang w:val="fr-FR"/>
        </w:rPr>
        <w:t>30</w:t>
      </w:r>
      <w:r w:rsidR="005E42D6">
        <w:rPr>
          <w:rStyle w:val="eop"/>
          <w:lang w:val="fr-FR"/>
        </w:rPr>
        <w:t xml:space="preserve">,000 habitants et un PIB de </w:t>
      </w:r>
      <w:r w:rsidR="0087675F">
        <w:rPr>
          <w:rStyle w:val="eop"/>
          <w:lang w:val="fr-FR"/>
        </w:rPr>
        <w:t>6</w:t>
      </w:r>
      <w:r w:rsidR="005E42D6">
        <w:rPr>
          <w:rStyle w:val="eop"/>
          <w:lang w:val="fr-FR"/>
        </w:rPr>
        <w:t xml:space="preserve"> m</w:t>
      </w:r>
      <w:r w:rsidR="0087675F">
        <w:rPr>
          <w:rStyle w:val="eop"/>
          <w:lang w:val="fr-FR"/>
        </w:rPr>
        <w:t>illiards</w:t>
      </w:r>
      <w:r w:rsidR="005E42D6">
        <w:rPr>
          <w:rStyle w:val="eop"/>
          <w:lang w:val="fr-FR"/>
        </w:rPr>
        <w:t xml:space="preserve"> de dollars (2020)</w:t>
      </w:r>
      <w:r w:rsidR="00410B1E">
        <w:rPr>
          <w:rStyle w:val="eop"/>
          <w:lang w:val="fr-FR"/>
        </w:rPr>
        <w:t xml:space="preserve"> a vu sa population croître de 11% de 2010 à 2019</w:t>
      </w:r>
      <w:r w:rsidR="00410B1E" w:rsidRPr="00410B1E">
        <w:rPr>
          <w:rStyle w:val="eop"/>
          <w:lang w:val="fr-FR"/>
        </w:rPr>
        <w:t>.</w:t>
      </w:r>
      <w:r w:rsidR="00410B1E">
        <w:rPr>
          <w:rStyle w:val="eop"/>
          <w:lang w:val="fr-FR"/>
        </w:rPr>
        <w:t xml:space="preserve"> Le Texas accueille 14 bases militaires</w:t>
      </w:r>
      <w:r w:rsidR="00FC6451">
        <w:rPr>
          <w:rStyle w:val="eop"/>
          <w:lang w:val="fr-FR"/>
        </w:rPr>
        <w:t xml:space="preserve"> qui emploient directement 226,000 personnes</w:t>
      </w:r>
      <w:r w:rsidR="005D5145">
        <w:rPr>
          <w:rStyle w:val="FootnoteReference"/>
          <w:lang w:val="fr-FR"/>
        </w:rPr>
        <w:footnoteReference w:id="12"/>
      </w:r>
      <w:r w:rsidR="00FC6451">
        <w:rPr>
          <w:rStyle w:val="eop"/>
          <w:lang w:val="fr-FR"/>
        </w:rPr>
        <w:t xml:space="preserve">. Nos régions d’étude en accueillent 2 à JRB Fort Worth et à Wichita </w:t>
      </w:r>
      <w:proofErr w:type="spellStart"/>
      <w:r w:rsidR="00FC6451">
        <w:rPr>
          <w:rStyle w:val="eop"/>
          <w:lang w:val="fr-FR"/>
        </w:rPr>
        <w:t>Falls</w:t>
      </w:r>
      <w:proofErr w:type="spellEnd"/>
      <w:r w:rsidR="00730B9E">
        <w:rPr>
          <w:rStyle w:val="FootnoteReference"/>
          <w:lang w:val="fr-FR"/>
        </w:rPr>
        <w:footnoteReference w:id="13"/>
      </w:r>
      <w:r w:rsidR="00C64936" w:rsidRPr="00C64936">
        <w:rPr>
          <w:rStyle w:val="eop"/>
          <w:lang w:val="fr-FR"/>
        </w:rPr>
        <w:t>.</w:t>
      </w:r>
      <w:r w:rsidR="00D96E59">
        <w:rPr>
          <w:rStyle w:val="eop"/>
          <w:lang w:val="fr-FR"/>
        </w:rPr>
        <w:t xml:space="preserve"> Selon le </w:t>
      </w:r>
      <w:r w:rsidR="00D96E59" w:rsidRPr="00D96E59">
        <w:rPr>
          <w:rStyle w:val="eop"/>
          <w:i/>
          <w:iCs/>
          <w:lang w:val="fr-FR"/>
        </w:rPr>
        <w:t>US Energy Information Administration</w:t>
      </w:r>
      <w:r w:rsidR="007D693E">
        <w:rPr>
          <w:rStyle w:val="eop"/>
          <w:i/>
          <w:iCs/>
          <w:lang w:val="fr-FR"/>
        </w:rPr>
        <w:t xml:space="preserve"> </w:t>
      </w:r>
      <w:r w:rsidR="007D693E">
        <w:rPr>
          <w:rStyle w:val="eop"/>
          <w:lang w:val="fr-FR"/>
        </w:rPr>
        <w:t>(EIA)</w:t>
      </w:r>
      <w:r w:rsidR="00D96E59">
        <w:rPr>
          <w:rStyle w:val="eop"/>
          <w:lang w:val="fr-FR"/>
        </w:rPr>
        <w:t>, la part la plus large d’électricité de l</w:t>
      </w:r>
      <w:r w:rsidR="00D96E59" w:rsidRPr="00D96E59">
        <w:rPr>
          <w:rStyle w:val="eop"/>
          <w:lang w:val="fr-FR"/>
        </w:rPr>
        <w:t>’</w:t>
      </w:r>
      <w:r w:rsidR="00D96E59">
        <w:rPr>
          <w:rStyle w:val="eop"/>
          <w:lang w:val="fr-FR"/>
        </w:rPr>
        <w:t xml:space="preserve">Etat est dirigée vers le secteur </w:t>
      </w:r>
      <w:r w:rsidR="00D96E59">
        <w:rPr>
          <w:rStyle w:val="eop"/>
          <w:lang w:val="fr-FR"/>
        </w:rPr>
        <w:lastRenderedPageBreak/>
        <w:t>résidentiel, où 3 ménages texans sur 5 utilisent l</w:t>
      </w:r>
      <w:r w:rsidR="00D96E59" w:rsidRPr="00D96E59">
        <w:rPr>
          <w:rStyle w:val="eop"/>
          <w:lang w:val="fr-FR"/>
        </w:rPr>
        <w:t>’</w:t>
      </w:r>
      <w:r w:rsidR="00D96E59">
        <w:rPr>
          <w:rStyle w:val="eop"/>
          <w:lang w:val="fr-FR"/>
        </w:rPr>
        <w:t>électricité pour le chauffage et l</w:t>
      </w:r>
      <w:r w:rsidR="00D96E59" w:rsidRPr="00D96E59">
        <w:rPr>
          <w:rStyle w:val="eop"/>
          <w:lang w:val="fr-FR"/>
        </w:rPr>
        <w:t>’</w:t>
      </w:r>
      <w:r w:rsidR="00D96E59">
        <w:rPr>
          <w:rStyle w:val="eop"/>
          <w:lang w:val="fr-FR"/>
        </w:rPr>
        <w:t>aération</w:t>
      </w:r>
      <w:r w:rsidR="005D5145">
        <w:rPr>
          <w:rStyle w:val="FootnoteReference"/>
          <w:lang w:val="fr-FR"/>
        </w:rPr>
        <w:footnoteReference w:id="14"/>
      </w:r>
      <w:r w:rsidR="00D96E59" w:rsidRPr="00D96E59">
        <w:rPr>
          <w:rStyle w:val="eop"/>
          <w:lang w:val="fr-FR"/>
        </w:rPr>
        <w:t>.</w:t>
      </w:r>
      <w:r w:rsidR="00D96E59">
        <w:rPr>
          <w:rStyle w:val="eop"/>
          <w:lang w:val="fr-FR"/>
        </w:rPr>
        <w:t xml:space="preserve"> Le chauffage en hiver et l’aération en été sont deux des sous</w:t>
      </w:r>
      <w:r w:rsidR="00D96E59" w:rsidRPr="00D96E59">
        <w:rPr>
          <w:rStyle w:val="eop"/>
          <w:lang w:val="fr-FR"/>
        </w:rPr>
        <w:t>-</w:t>
      </w:r>
      <w:r w:rsidR="00D96E59">
        <w:rPr>
          <w:rStyle w:val="eop"/>
          <w:lang w:val="fr-FR"/>
        </w:rPr>
        <w:t>jacents majeurs de consommation d</w:t>
      </w:r>
      <w:r w:rsidR="00D96E59" w:rsidRPr="00D96E59">
        <w:rPr>
          <w:rStyle w:val="eop"/>
          <w:lang w:val="fr-FR"/>
        </w:rPr>
        <w:t>’</w:t>
      </w:r>
      <w:r w:rsidR="00D96E59">
        <w:rPr>
          <w:rStyle w:val="eop"/>
          <w:lang w:val="fr-FR"/>
        </w:rPr>
        <w:t>él</w:t>
      </w:r>
      <w:r w:rsidR="00D96E59" w:rsidRPr="00D96E59">
        <w:rPr>
          <w:rStyle w:val="eop"/>
          <w:lang w:val="fr-FR"/>
        </w:rPr>
        <w:t>e</w:t>
      </w:r>
      <w:r w:rsidR="00D96E59">
        <w:rPr>
          <w:rStyle w:val="eop"/>
          <w:lang w:val="fr-FR"/>
        </w:rPr>
        <w:t>ctricité au Texas</w:t>
      </w:r>
      <w:r w:rsidR="00D96E59" w:rsidRPr="00D96E59">
        <w:rPr>
          <w:rStyle w:val="eop"/>
          <w:lang w:val="fr-FR"/>
        </w:rPr>
        <w:t>.</w:t>
      </w:r>
      <w:r w:rsidR="007D693E">
        <w:rPr>
          <w:rStyle w:val="eop"/>
          <w:lang w:val="fr-FR"/>
        </w:rPr>
        <w:t xml:space="preserve"> L’EIA note que les pics de demande d’électricité journaliers sont </w:t>
      </w:r>
      <w:r w:rsidR="00787BE7">
        <w:rPr>
          <w:rStyle w:val="eop"/>
          <w:lang w:val="fr-FR"/>
        </w:rPr>
        <w:t>atteints</w:t>
      </w:r>
      <w:r w:rsidR="007D693E">
        <w:rPr>
          <w:rStyle w:val="eop"/>
          <w:lang w:val="fr-FR"/>
        </w:rPr>
        <w:t xml:space="preserve"> en été à cause de l</w:t>
      </w:r>
      <w:r w:rsidR="007D693E" w:rsidRPr="007D693E">
        <w:rPr>
          <w:rStyle w:val="eop"/>
          <w:lang w:val="fr-FR"/>
        </w:rPr>
        <w:t>’</w:t>
      </w:r>
      <w:r w:rsidR="007D693E">
        <w:rPr>
          <w:rStyle w:val="eop"/>
          <w:lang w:val="fr-FR"/>
        </w:rPr>
        <w:t>augmentation de l’utilisation de l’aération</w:t>
      </w:r>
      <w:r w:rsidR="00DF0CD4">
        <w:rPr>
          <w:rStyle w:val="FootnoteReference"/>
          <w:lang w:val="fr-FR"/>
        </w:rPr>
        <w:footnoteReference w:id="15"/>
      </w:r>
      <w:r w:rsidR="00787BE7">
        <w:rPr>
          <w:rStyle w:val="eop"/>
          <w:lang w:val="fr-FR"/>
        </w:rPr>
        <w:t>.</w:t>
      </w:r>
      <w:r w:rsidR="00F30771">
        <w:rPr>
          <w:rStyle w:val="eop"/>
          <w:lang w:val="fr-FR"/>
        </w:rPr>
        <w:t xml:space="preserve"> La région </w:t>
      </w:r>
      <w:r w:rsidR="00F30771" w:rsidRPr="00CC3AB3">
        <w:rPr>
          <w:rStyle w:val="eop"/>
          <w:i/>
          <w:iCs/>
          <w:lang w:val="fr-FR"/>
        </w:rPr>
        <w:t>E</w:t>
      </w:r>
      <w:r w:rsidR="00CC3AB3" w:rsidRPr="00CC3AB3">
        <w:rPr>
          <w:rStyle w:val="eop"/>
          <w:i/>
          <w:iCs/>
          <w:lang w:val="fr-FR"/>
        </w:rPr>
        <w:t>a</w:t>
      </w:r>
      <w:r w:rsidR="00F30771" w:rsidRPr="00CC3AB3">
        <w:rPr>
          <w:rStyle w:val="eop"/>
          <w:i/>
          <w:iCs/>
          <w:lang w:val="fr-FR"/>
        </w:rPr>
        <w:t>st</w:t>
      </w:r>
      <w:r w:rsidR="00F30771">
        <w:rPr>
          <w:rStyle w:val="eop"/>
          <w:lang w:val="fr-FR"/>
        </w:rPr>
        <w:t xml:space="preserve"> possède un climat </w:t>
      </w:r>
      <w:proofErr w:type="spellStart"/>
      <w:r w:rsidR="00C30A9A">
        <w:rPr>
          <w:rStyle w:val="eop"/>
          <w:lang w:val="fr-FR"/>
        </w:rPr>
        <w:t>sub-</w:t>
      </w:r>
      <w:r w:rsidR="00F30771">
        <w:rPr>
          <w:rStyle w:val="eop"/>
          <w:lang w:val="fr-FR"/>
        </w:rPr>
        <w:t>tropical</w:t>
      </w:r>
      <w:proofErr w:type="spellEnd"/>
      <w:r w:rsidR="00F30771">
        <w:rPr>
          <w:rStyle w:val="eop"/>
          <w:lang w:val="fr-FR"/>
        </w:rPr>
        <w:t xml:space="preserve"> avec quelques vagues de froid du Nord</w:t>
      </w:r>
      <w:r w:rsidR="00CC3AB3">
        <w:rPr>
          <w:rStyle w:val="eop"/>
          <w:lang w:val="fr-FR"/>
        </w:rPr>
        <w:t>, des précipitations de 890 à 1500 mm</w:t>
      </w:r>
      <w:r w:rsidR="009D01D9">
        <w:rPr>
          <w:rStyle w:val="eop"/>
          <w:lang w:val="fr-FR"/>
        </w:rPr>
        <w:t>/an</w:t>
      </w:r>
      <w:r w:rsidR="00CC3AB3">
        <w:rPr>
          <w:rStyle w:val="eop"/>
          <w:lang w:val="fr-FR"/>
        </w:rPr>
        <w:t>, des plaines côtières et des collines dans les terres</w:t>
      </w:r>
      <w:r w:rsidR="00CC3AB3" w:rsidRPr="00CC3AB3">
        <w:rPr>
          <w:rStyle w:val="eop"/>
          <w:lang w:val="fr-FR"/>
        </w:rPr>
        <w:t xml:space="preserve">. </w:t>
      </w:r>
      <w:r w:rsidR="00CC3AB3">
        <w:rPr>
          <w:rStyle w:val="eop"/>
          <w:lang w:val="fr-FR"/>
        </w:rPr>
        <w:t xml:space="preserve">Les </w:t>
      </w:r>
      <w:r w:rsidR="009D01D9">
        <w:rPr>
          <w:rStyle w:val="eop"/>
          <w:lang w:val="fr-FR"/>
        </w:rPr>
        <w:t>régions</w:t>
      </w:r>
      <w:r w:rsidR="00CC3AB3">
        <w:rPr>
          <w:rStyle w:val="eop"/>
          <w:lang w:val="fr-FR"/>
        </w:rPr>
        <w:t xml:space="preserve"> </w:t>
      </w:r>
      <w:r w:rsidR="00CC3AB3" w:rsidRPr="009D01D9">
        <w:rPr>
          <w:rStyle w:val="eop"/>
          <w:i/>
          <w:iCs/>
          <w:lang w:val="fr-FR"/>
        </w:rPr>
        <w:t>N</w:t>
      </w:r>
      <w:r w:rsidR="009D01D9" w:rsidRPr="009D01D9">
        <w:rPr>
          <w:rStyle w:val="eop"/>
          <w:i/>
          <w:iCs/>
          <w:lang w:val="fr-FR"/>
        </w:rPr>
        <w:t>orth</w:t>
      </w:r>
      <w:r w:rsidR="009D01D9">
        <w:rPr>
          <w:rStyle w:val="eop"/>
          <w:lang w:val="fr-FR"/>
        </w:rPr>
        <w:t xml:space="preserve"> et </w:t>
      </w:r>
      <w:r w:rsidR="009D01D9" w:rsidRPr="009D01D9">
        <w:rPr>
          <w:rStyle w:val="eop"/>
          <w:i/>
          <w:iCs/>
          <w:lang w:val="fr-FR"/>
        </w:rPr>
        <w:t>North Central</w:t>
      </w:r>
      <w:r w:rsidR="009D01D9">
        <w:rPr>
          <w:rStyle w:val="eop"/>
          <w:i/>
          <w:iCs/>
          <w:lang w:val="fr-FR"/>
        </w:rPr>
        <w:t xml:space="preserve"> </w:t>
      </w:r>
      <w:r w:rsidR="009D01D9" w:rsidRPr="009D01D9">
        <w:rPr>
          <w:rStyle w:val="normaltextrun"/>
          <w:color w:val="000000"/>
          <w:shd w:val="clear" w:color="auto" w:fill="FFFFFF"/>
          <w:lang w:val="fr-FR"/>
        </w:rPr>
        <w:t xml:space="preserve">ont un climat </w:t>
      </w:r>
      <w:proofErr w:type="spellStart"/>
      <w:r w:rsidR="009D01D9" w:rsidRPr="009D01D9">
        <w:rPr>
          <w:rStyle w:val="normaltextrun"/>
          <w:color w:val="000000"/>
          <w:shd w:val="clear" w:color="auto" w:fill="FFFFFF"/>
          <w:lang w:val="fr-FR"/>
        </w:rPr>
        <w:t>sub</w:t>
      </w:r>
      <w:r w:rsidR="00C30A9A">
        <w:rPr>
          <w:rStyle w:val="normaltextrun"/>
          <w:color w:val="000000"/>
          <w:shd w:val="clear" w:color="auto" w:fill="FFFFFF"/>
          <w:lang w:val="fr-FR"/>
        </w:rPr>
        <w:t>-</w:t>
      </w:r>
      <w:r w:rsidR="009D01D9" w:rsidRPr="009D01D9">
        <w:rPr>
          <w:rStyle w:val="normaltextrun"/>
          <w:color w:val="000000"/>
          <w:shd w:val="clear" w:color="auto" w:fill="FFFFFF"/>
          <w:lang w:val="fr-FR"/>
        </w:rPr>
        <w:t>tropical</w:t>
      </w:r>
      <w:proofErr w:type="spellEnd"/>
      <w:r w:rsidR="009D01D9" w:rsidRPr="009D01D9">
        <w:rPr>
          <w:rStyle w:val="normaltextrun"/>
          <w:color w:val="000000"/>
          <w:shd w:val="clear" w:color="auto" w:fill="FFFFFF"/>
          <w:lang w:val="fr-FR"/>
        </w:rPr>
        <w:t xml:space="preserve"> / continental avec des précipitations entre 700 et 1200 mm</w:t>
      </w:r>
      <w:r w:rsidR="009D01D9">
        <w:rPr>
          <w:rStyle w:val="normaltextrun"/>
          <w:color w:val="000000"/>
          <w:shd w:val="clear" w:color="auto" w:fill="FFFFFF"/>
          <w:lang w:val="fr-FR"/>
        </w:rPr>
        <w:t>/a</w:t>
      </w:r>
      <w:r w:rsidR="009D01D9" w:rsidRPr="009D01D9">
        <w:rPr>
          <w:rStyle w:val="normaltextrun"/>
          <w:color w:val="000000"/>
          <w:shd w:val="clear" w:color="auto" w:fill="FFFFFF"/>
          <w:lang w:val="fr-FR"/>
        </w:rPr>
        <w:t>n</w:t>
      </w:r>
      <w:r w:rsidR="009D01D9">
        <w:rPr>
          <w:rStyle w:val="normaltextrun"/>
          <w:color w:val="000000"/>
          <w:shd w:val="clear" w:color="auto" w:fill="FFFFFF"/>
          <w:lang w:val="fr-FR"/>
        </w:rPr>
        <w:t>. Ces deux régions</w:t>
      </w:r>
      <w:r w:rsidR="00776D23">
        <w:rPr>
          <w:rStyle w:val="normaltextrun"/>
          <w:color w:val="000000"/>
          <w:shd w:val="clear" w:color="auto" w:fill="FFFFFF"/>
          <w:lang w:val="fr-FR"/>
        </w:rPr>
        <w:t xml:space="preserve"> sont des plaines et</w:t>
      </w:r>
      <w:r w:rsidR="00001AAD">
        <w:rPr>
          <w:rStyle w:val="normaltextrun"/>
          <w:color w:val="000000"/>
          <w:shd w:val="clear" w:color="auto" w:fill="FFFFFF"/>
          <w:lang w:val="fr-FR"/>
        </w:rPr>
        <w:t xml:space="preserve"> subissent de nombreuses t</w:t>
      </w:r>
      <w:r w:rsidR="00443A2D">
        <w:rPr>
          <w:rStyle w:val="normaltextrun"/>
          <w:color w:val="000000"/>
          <w:shd w:val="clear" w:color="auto" w:fill="FFFFFF"/>
          <w:lang w:val="fr-FR"/>
        </w:rPr>
        <w:t>ornades</w:t>
      </w:r>
      <w:r w:rsidR="00001AAD">
        <w:rPr>
          <w:rStyle w:val="normaltextrun"/>
          <w:color w:val="000000"/>
          <w:shd w:val="clear" w:color="auto" w:fill="FFFFFF"/>
          <w:lang w:val="fr-FR"/>
        </w:rPr>
        <w:t xml:space="preserve"> </w:t>
      </w:r>
      <w:r w:rsidR="00443A2D">
        <w:rPr>
          <w:rStyle w:val="normaltextrun"/>
          <w:color w:val="000000"/>
          <w:shd w:val="clear" w:color="auto" w:fill="FFFFFF"/>
          <w:lang w:val="fr-FR"/>
        </w:rPr>
        <w:t>au</w:t>
      </w:r>
      <w:r w:rsidR="00001AAD">
        <w:rPr>
          <w:rStyle w:val="normaltextrun"/>
          <w:color w:val="000000"/>
          <w:shd w:val="clear" w:color="auto" w:fill="FFFFFF"/>
          <w:lang w:val="fr-FR"/>
        </w:rPr>
        <w:t xml:space="preserve"> printemps car elles sont dans la </w:t>
      </w:r>
      <w:proofErr w:type="spellStart"/>
      <w:r w:rsidR="00001AAD">
        <w:rPr>
          <w:rStyle w:val="normaltextrun"/>
          <w:i/>
          <w:iCs/>
          <w:color w:val="000000"/>
          <w:shd w:val="clear" w:color="auto" w:fill="FFFFFF"/>
          <w:lang w:val="fr-FR"/>
        </w:rPr>
        <w:t>tornado</w:t>
      </w:r>
      <w:proofErr w:type="spellEnd"/>
      <w:r w:rsidR="00001AAD">
        <w:rPr>
          <w:rStyle w:val="normaltextrun"/>
          <w:i/>
          <w:iCs/>
          <w:color w:val="000000"/>
          <w:shd w:val="clear" w:color="auto" w:fill="FFFFFF"/>
          <w:lang w:val="fr-FR"/>
        </w:rPr>
        <w:t xml:space="preserve"> </w:t>
      </w:r>
      <w:proofErr w:type="spellStart"/>
      <w:r w:rsidR="00001AAD">
        <w:rPr>
          <w:rStyle w:val="normaltextrun"/>
          <w:i/>
          <w:iCs/>
          <w:color w:val="000000"/>
          <w:shd w:val="clear" w:color="auto" w:fill="FFFFFF"/>
          <w:lang w:val="fr-FR"/>
        </w:rPr>
        <w:t>alley</w:t>
      </w:r>
      <w:proofErr w:type="spellEnd"/>
      <w:r w:rsidR="00001AAD">
        <w:rPr>
          <w:rStyle w:val="normaltextrun"/>
          <w:i/>
          <w:iCs/>
          <w:color w:val="000000"/>
          <w:shd w:val="clear" w:color="auto" w:fill="FFFFFF"/>
          <w:lang w:val="fr-FR"/>
        </w:rPr>
        <w:t xml:space="preserve">. </w:t>
      </w:r>
      <w:r w:rsidR="00001AAD" w:rsidRPr="00001AAD">
        <w:rPr>
          <w:rStyle w:val="normaltextrun"/>
          <w:i/>
          <w:iCs/>
          <w:color w:val="000000"/>
          <w:shd w:val="clear" w:color="auto" w:fill="FFFFFF"/>
          <w:lang w:val="fr-FR"/>
        </w:rPr>
        <w:t xml:space="preserve">North </w:t>
      </w:r>
      <w:r w:rsidR="00001AAD" w:rsidRPr="00001AAD">
        <w:rPr>
          <w:rStyle w:val="normaltextrun"/>
          <w:color w:val="000000"/>
          <w:shd w:val="clear" w:color="auto" w:fill="FFFFFF"/>
          <w:lang w:val="fr-FR"/>
        </w:rPr>
        <w:t>et</w:t>
      </w:r>
      <w:r w:rsidR="00001AAD" w:rsidRPr="00001AAD">
        <w:rPr>
          <w:rStyle w:val="normaltextrun"/>
          <w:i/>
          <w:iCs/>
          <w:color w:val="000000"/>
          <w:shd w:val="clear" w:color="auto" w:fill="FFFFFF"/>
          <w:lang w:val="fr-FR"/>
        </w:rPr>
        <w:t xml:space="preserve"> North Central</w:t>
      </w:r>
      <w:r w:rsidR="00001AAD">
        <w:rPr>
          <w:rStyle w:val="normaltextrun"/>
          <w:i/>
          <w:iCs/>
          <w:color w:val="000000"/>
          <w:shd w:val="clear" w:color="auto" w:fill="FFFFFF"/>
          <w:lang w:val="fr-FR"/>
        </w:rPr>
        <w:t xml:space="preserve"> </w:t>
      </w:r>
      <w:r w:rsidR="00001AAD">
        <w:rPr>
          <w:rStyle w:val="normaltextrun"/>
          <w:color w:val="000000"/>
          <w:shd w:val="clear" w:color="auto" w:fill="FFFFFF"/>
          <w:lang w:val="fr-FR"/>
        </w:rPr>
        <w:t>reçoivent des vents froids du Nord et chauds du Golfe du </w:t>
      </w:r>
      <w:r w:rsidR="00443A2D">
        <w:rPr>
          <w:rStyle w:val="normaltextrun"/>
          <w:color w:val="000000"/>
          <w:shd w:val="clear" w:color="auto" w:fill="FFFFFF"/>
          <w:lang w:val="fr-FR"/>
        </w:rPr>
        <w:t>Mexique</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Les hivers y sont tempérés mais parfois ponctués de vague de froid extrême en janvier ou février</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w:t>
      </w:r>
      <w:r w:rsidR="00443A2D">
        <w:rPr>
          <w:rStyle w:val="normaltextrun"/>
          <w:color w:val="000000"/>
          <w:bdr w:val="none" w:sz="0" w:space="0" w:color="auto" w:frame="1"/>
          <w:lang w:val="fr-BE"/>
        </w:rPr>
        <w:t xml:space="preserve">Les </w:t>
      </w:r>
      <w:r w:rsidR="004A2C62">
        <w:rPr>
          <w:noProof/>
        </w:rPr>
        <w:drawing>
          <wp:anchor distT="0" distB="0" distL="114300" distR="114300" simplePos="0" relativeHeight="251662336" behindDoc="1" locked="0" layoutInCell="1" allowOverlap="1" wp14:anchorId="21D3C20E" wp14:editId="753E30BE">
            <wp:simplePos x="0" y="0"/>
            <wp:positionH relativeFrom="margin">
              <wp:align>right</wp:align>
            </wp:positionH>
            <wp:positionV relativeFrom="paragraph">
              <wp:posOffset>5330126</wp:posOffset>
            </wp:positionV>
            <wp:extent cx="2230755" cy="2209800"/>
            <wp:effectExtent l="0" t="0" r="0" b="0"/>
            <wp:wrapTight wrapText="bothSides">
              <wp:wrapPolygon edited="0">
                <wp:start x="0" y="0"/>
                <wp:lineTo x="0" y="21414"/>
                <wp:lineTo x="21397" y="21414"/>
                <wp:lineTo x="21397"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755" cy="2209800"/>
                    </a:xfrm>
                    <a:prstGeom prst="rect">
                      <a:avLst/>
                    </a:prstGeom>
                  </pic:spPr>
                </pic:pic>
              </a:graphicData>
            </a:graphic>
            <wp14:sizeRelH relativeFrom="margin">
              <wp14:pctWidth>0</wp14:pctWidth>
            </wp14:sizeRelH>
            <wp14:sizeRelV relativeFrom="margin">
              <wp14:pctHeight>0</wp14:pctHeight>
            </wp14:sizeRelV>
          </wp:anchor>
        </w:drawing>
      </w:r>
      <w:r w:rsidR="00443A2D">
        <w:rPr>
          <w:rStyle w:val="normaltextrun"/>
          <w:color w:val="000000"/>
          <w:bdr w:val="none" w:sz="0" w:space="0" w:color="auto" w:frame="1"/>
          <w:lang w:val="fr-BE"/>
        </w:rPr>
        <w:t>trois régions connaissent des hivers doux avec des étés chauds voir tropicaux, menant à des vagues de chaleur</w:t>
      </w:r>
      <w:r w:rsidR="00C30A9A">
        <w:rPr>
          <w:rStyle w:val="normaltextrun"/>
          <w:color w:val="000000"/>
          <w:bdr w:val="none" w:sz="0" w:space="0" w:color="auto" w:frame="1"/>
          <w:lang w:val="fr-BE"/>
        </w:rPr>
        <w:t>.</w:t>
      </w:r>
    </w:p>
    <w:p w14:paraId="58B531DD" w14:textId="766CA96A" w:rsidR="00682B02" w:rsidRPr="00FB76B7" w:rsidRDefault="00682B02" w:rsidP="00682B02">
      <w:pPr>
        <w:pStyle w:val="paragraph"/>
        <w:spacing w:before="0" w:beforeAutospacing="0" w:after="0" w:afterAutospacing="0" w:line="480" w:lineRule="auto"/>
        <w:ind w:right="-705"/>
        <w:jc w:val="both"/>
        <w:textAlignment w:val="baseline"/>
        <w:rPr>
          <w:lang w:val="fr-FR"/>
        </w:rPr>
      </w:pPr>
      <w:r>
        <w:rPr>
          <w:rStyle w:val="normaltextrun"/>
          <w:b/>
          <w:bCs/>
          <w:color w:val="0070C0"/>
          <w:lang w:val="fr-FR"/>
        </w:rPr>
        <w:t>Analyse exploratoire des données</w:t>
      </w:r>
    </w:p>
    <w:p w14:paraId="1DB2746E" w14:textId="4E0C0911" w:rsidR="00682B02" w:rsidRPr="00BF65A5" w:rsidRDefault="00682B02" w:rsidP="0099600D">
      <w:pPr>
        <w:pStyle w:val="paragraph"/>
        <w:spacing w:before="0" w:beforeAutospacing="0" w:after="0" w:afterAutospacing="0" w:line="480" w:lineRule="auto"/>
        <w:ind w:right="4"/>
        <w:jc w:val="both"/>
        <w:textAlignment w:val="baseline"/>
        <w:rPr>
          <w:rStyle w:val="eop"/>
          <w:lang w:val="fr-FR"/>
        </w:rPr>
      </w:pPr>
      <w:r>
        <w:rPr>
          <w:rStyle w:val="eop"/>
          <w:lang w:val="fr-FR"/>
        </w:rPr>
        <w:t>L</w:t>
      </w:r>
      <w:r w:rsidRPr="00682B02">
        <w:rPr>
          <w:rStyle w:val="eop"/>
          <w:lang w:val="fr-FR"/>
        </w:rPr>
        <w:t>’analyse porte sur l’</w:t>
      </w:r>
      <w:r>
        <w:rPr>
          <w:rStyle w:val="eop"/>
          <w:lang w:val="fr-FR"/>
        </w:rPr>
        <w:t>évolution journalière de la demande d</w:t>
      </w:r>
      <w:r w:rsidRPr="00682B02">
        <w:rPr>
          <w:rStyle w:val="eop"/>
          <w:lang w:val="fr-FR"/>
        </w:rPr>
        <w:t>’</w:t>
      </w:r>
      <w:r>
        <w:rPr>
          <w:rStyle w:val="eop"/>
          <w:lang w:val="fr-FR"/>
        </w:rPr>
        <w:t xml:space="preserve">électricité </w:t>
      </w:r>
      <w:r w:rsidR="00A02E2A">
        <w:rPr>
          <w:rStyle w:val="eop"/>
          <w:lang w:val="fr-FR"/>
        </w:rPr>
        <w:t xml:space="preserve">des régions étudiées de 2012 à 2021. Nous observons que la région </w:t>
      </w:r>
      <w:r w:rsidR="00A02E2A" w:rsidRPr="00A02E2A">
        <w:rPr>
          <w:rStyle w:val="eop"/>
          <w:i/>
          <w:iCs/>
          <w:lang w:val="fr-FR"/>
        </w:rPr>
        <w:t>North Central</w:t>
      </w:r>
      <w:r w:rsidR="00A02E2A">
        <w:rPr>
          <w:rStyle w:val="eop"/>
          <w:lang w:val="fr-FR"/>
        </w:rPr>
        <w:t xml:space="preserve"> présente la plus grande demande d’électricité</w:t>
      </w:r>
      <w:r w:rsidR="00CD1EDC">
        <w:rPr>
          <w:rStyle w:val="eop"/>
          <w:lang w:val="fr-FR"/>
        </w:rPr>
        <w:t xml:space="preserve"> </w:t>
      </w:r>
      <w:r w:rsidR="00CD1EDC" w:rsidRPr="00CD1EDC">
        <w:rPr>
          <w:rStyle w:val="eop"/>
          <w:b/>
          <w:bCs/>
          <w:highlight w:val="yellow"/>
          <w:lang w:val="fr-FR"/>
        </w:rPr>
        <w:t>(Figure XX)</w:t>
      </w:r>
      <w:r w:rsidR="00A02E2A">
        <w:rPr>
          <w:rStyle w:val="eop"/>
          <w:lang w:val="fr-FR"/>
        </w:rPr>
        <w:t xml:space="preserve"> car celle-ci est la plus peuplée et industrielle des 3 régions</w:t>
      </w:r>
      <w:r w:rsidR="00A02E2A" w:rsidRPr="00A02E2A">
        <w:rPr>
          <w:rStyle w:val="eop"/>
          <w:lang w:val="fr-FR"/>
        </w:rPr>
        <w:t>.</w:t>
      </w:r>
      <w:r w:rsidR="00B425C9">
        <w:rPr>
          <w:rStyle w:val="eop"/>
          <w:lang w:val="fr-FR"/>
        </w:rPr>
        <w:t xml:space="preserve"> De 2012 à 2021, la moyenne de la demande journalière a augmenté de 7</w:t>
      </w:r>
      <w:r w:rsidR="00B425C9" w:rsidRPr="00B425C9">
        <w:rPr>
          <w:rStyle w:val="eop"/>
          <w:lang w:val="fr-FR"/>
        </w:rPr>
        <w:t>.</w:t>
      </w:r>
      <w:r w:rsidR="00B425C9">
        <w:rPr>
          <w:rStyle w:val="eop"/>
          <w:lang w:val="fr-FR"/>
        </w:rPr>
        <w:t>8</w:t>
      </w:r>
      <w:r w:rsidR="00CD1EDC">
        <w:rPr>
          <w:rStyle w:val="eop"/>
          <w:lang w:val="fr-FR"/>
        </w:rPr>
        <w:t xml:space="preserve"> % dans l’agrégat des 3 régions </w:t>
      </w:r>
      <w:r w:rsidR="00CD1EDC" w:rsidRPr="00CD1EDC">
        <w:rPr>
          <w:rStyle w:val="eop"/>
          <w:lang w:val="fr-FR"/>
        </w:rPr>
        <w:t>(</w:t>
      </w:r>
      <w:r w:rsidR="00CD1EDC" w:rsidRPr="00CD1EDC">
        <w:rPr>
          <w:rStyle w:val="eop"/>
          <w:i/>
          <w:iCs/>
          <w:lang w:val="fr-FR"/>
        </w:rPr>
        <w:t>SOMME</w:t>
      </w:r>
      <w:r w:rsidR="00CD1EDC">
        <w:rPr>
          <w:rStyle w:val="eop"/>
          <w:lang w:val="fr-FR"/>
        </w:rPr>
        <w:t xml:space="preserve">), de 6.8% dans la région </w:t>
      </w:r>
      <w:r w:rsidR="00CD1EDC" w:rsidRPr="00196970">
        <w:rPr>
          <w:rStyle w:val="eop"/>
          <w:i/>
          <w:iCs/>
          <w:lang w:val="fr-FR"/>
        </w:rPr>
        <w:t>North Central</w:t>
      </w:r>
      <w:r w:rsidR="009B7513">
        <w:rPr>
          <w:rStyle w:val="eop"/>
          <w:i/>
          <w:iCs/>
          <w:lang w:val="fr-FR"/>
        </w:rPr>
        <w:t xml:space="preserve"> </w:t>
      </w:r>
      <w:r w:rsidR="009B7513" w:rsidRPr="009B7513">
        <w:rPr>
          <w:rStyle w:val="eop"/>
          <w:lang w:val="fr-FR"/>
        </w:rPr>
        <w:t>(</w:t>
      </w:r>
      <w:r w:rsidR="009B7513">
        <w:rPr>
          <w:rStyle w:val="eop"/>
          <w:lang w:val="fr-FR"/>
        </w:rPr>
        <w:t>croissance éco/démographique de Dallas</w:t>
      </w:r>
      <w:r w:rsidR="009B7513" w:rsidRPr="009B7513">
        <w:rPr>
          <w:rStyle w:val="eop"/>
          <w:lang w:val="fr-FR"/>
        </w:rPr>
        <w:t>)</w:t>
      </w:r>
      <w:r w:rsidR="00196970">
        <w:rPr>
          <w:rStyle w:val="eop"/>
          <w:lang w:val="fr-FR"/>
        </w:rPr>
        <w:t xml:space="preserve">, de 22% dans la région </w:t>
      </w:r>
      <w:r w:rsidR="00196970" w:rsidRPr="00196970">
        <w:rPr>
          <w:rStyle w:val="eop"/>
          <w:i/>
          <w:iCs/>
          <w:lang w:val="fr-FR"/>
        </w:rPr>
        <w:t>East</w:t>
      </w:r>
      <w:r w:rsidR="00196970">
        <w:rPr>
          <w:rStyle w:val="eop"/>
          <w:i/>
          <w:iCs/>
          <w:lang w:val="fr-FR"/>
        </w:rPr>
        <w:t xml:space="preserve">, </w:t>
      </w:r>
      <w:r w:rsidR="00196970">
        <w:rPr>
          <w:rStyle w:val="eop"/>
          <w:lang w:val="fr-FR"/>
        </w:rPr>
        <w:t>et diminué de 1</w:t>
      </w:r>
      <w:r w:rsidR="00196970" w:rsidRPr="00196970">
        <w:rPr>
          <w:rStyle w:val="eop"/>
          <w:lang w:val="fr-FR"/>
        </w:rPr>
        <w:t>%</w:t>
      </w:r>
      <w:r w:rsidR="00196970">
        <w:rPr>
          <w:rStyle w:val="eop"/>
          <w:lang w:val="fr-FR"/>
        </w:rPr>
        <w:t xml:space="preserve"> dans la région </w:t>
      </w:r>
      <w:r w:rsidR="00196970" w:rsidRPr="00196970">
        <w:rPr>
          <w:rStyle w:val="eop"/>
          <w:i/>
          <w:iCs/>
          <w:lang w:val="fr-FR"/>
        </w:rPr>
        <w:t>North</w:t>
      </w:r>
      <w:r w:rsidR="00196970" w:rsidRPr="00196970">
        <w:rPr>
          <w:rStyle w:val="eop"/>
          <w:lang w:val="fr-FR"/>
        </w:rPr>
        <w:t>.</w:t>
      </w:r>
      <w:r w:rsidR="00196970">
        <w:rPr>
          <w:rStyle w:val="eop"/>
          <w:lang w:val="fr-FR"/>
        </w:rPr>
        <w:t xml:space="preserve"> La stagnation dans </w:t>
      </w:r>
      <w:r w:rsidR="00093CA5" w:rsidRPr="00093CA5">
        <w:rPr>
          <w:rStyle w:val="eop"/>
          <w:i/>
          <w:iCs/>
          <w:lang w:val="fr-FR"/>
        </w:rPr>
        <w:t>North</w:t>
      </w:r>
      <w:r w:rsidR="00196970">
        <w:rPr>
          <w:rStyle w:val="eop"/>
          <w:lang w:val="fr-FR"/>
        </w:rPr>
        <w:t xml:space="preserve"> peut être due à une </w:t>
      </w:r>
      <w:r w:rsidR="00E84FF3">
        <w:rPr>
          <w:noProof/>
        </w:rPr>
        <w:lastRenderedPageBreak/>
        <w:drawing>
          <wp:anchor distT="0" distB="0" distL="114300" distR="114300" simplePos="0" relativeHeight="251667456" behindDoc="1" locked="0" layoutInCell="1" allowOverlap="1" wp14:anchorId="060DC70A" wp14:editId="55F1B0E8">
            <wp:simplePos x="0" y="0"/>
            <wp:positionH relativeFrom="margin">
              <wp:align>right</wp:align>
            </wp:positionH>
            <wp:positionV relativeFrom="paragraph">
              <wp:posOffset>0</wp:posOffset>
            </wp:positionV>
            <wp:extent cx="1877060" cy="1851660"/>
            <wp:effectExtent l="0" t="0" r="8890" b="0"/>
            <wp:wrapTight wrapText="bothSides">
              <wp:wrapPolygon edited="0">
                <wp:start x="0" y="0"/>
                <wp:lineTo x="0" y="21333"/>
                <wp:lineTo x="21483" y="21333"/>
                <wp:lineTo x="21483" y="0"/>
                <wp:lineTo x="0" y="0"/>
              </wp:wrapPolygon>
            </wp:wrapTight>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060" cy="1851660"/>
                    </a:xfrm>
                    <a:prstGeom prst="rect">
                      <a:avLst/>
                    </a:prstGeom>
                  </pic:spPr>
                </pic:pic>
              </a:graphicData>
            </a:graphic>
            <wp14:sizeRelH relativeFrom="margin">
              <wp14:pctWidth>0</wp14:pctWidth>
            </wp14:sizeRelH>
            <wp14:sizeRelV relativeFrom="margin">
              <wp14:pctHeight>0</wp14:pctHeight>
            </wp14:sizeRelV>
          </wp:anchor>
        </w:drawing>
      </w:r>
      <w:r w:rsidR="00196970">
        <w:rPr>
          <w:rStyle w:val="eop"/>
          <w:lang w:val="fr-FR"/>
        </w:rPr>
        <w:t>désindustrialisation relative</w:t>
      </w:r>
      <w:r w:rsidR="00730B9E">
        <w:rPr>
          <w:rStyle w:val="eop"/>
          <w:lang w:val="fr-FR"/>
        </w:rPr>
        <w:t xml:space="preserve"> et</w:t>
      </w:r>
      <w:r w:rsidR="00196970">
        <w:rPr>
          <w:rStyle w:val="eop"/>
          <w:lang w:val="fr-FR"/>
        </w:rPr>
        <w:t xml:space="preserve"> une croissance </w:t>
      </w:r>
      <w:r w:rsidR="00F37372">
        <w:rPr>
          <w:noProof/>
        </w:rPr>
        <w:drawing>
          <wp:anchor distT="0" distB="0" distL="114300" distR="114300" simplePos="0" relativeHeight="251661312" behindDoc="1" locked="0" layoutInCell="1" allowOverlap="1" wp14:anchorId="79F973CF" wp14:editId="7D859363">
            <wp:simplePos x="0" y="0"/>
            <wp:positionH relativeFrom="margin">
              <wp:align>right</wp:align>
            </wp:positionH>
            <wp:positionV relativeFrom="paragraph">
              <wp:posOffset>1891930</wp:posOffset>
            </wp:positionV>
            <wp:extent cx="1850390" cy="1868170"/>
            <wp:effectExtent l="0" t="0" r="0" b="0"/>
            <wp:wrapTight wrapText="bothSides">
              <wp:wrapPolygon edited="0">
                <wp:start x="0" y="0"/>
                <wp:lineTo x="0" y="21365"/>
                <wp:lineTo x="21348" y="21365"/>
                <wp:lineTo x="21348"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0390" cy="1868170"/>
                    </a:xfrm>
                    <a:prstGeom prst="rect">
                      <a:avLst/>
                    </a:prstGeom>
                  </pic:spPr>
                </pic:pic>
              </a:graphicData>
            </a:graphic>
            <wp14:sizeRelH relativeFrom="margin">
              <wp14:pctWidth>0</wp14:pctWidth>
            </wp14:sizeRelH>
            <wp14:sizeRelV relativeFrom="margin">
              <wp14:pctHeight>0</wp14:pctHeight>
            </wp14:sizeRelV>
          </wp:anchor>
        </w:drawing>
      </w:r>
      <w:r w:rsidR="00196970">
        <w:rPr>
          <w:rStyle w:val="eop"/>
          <w:lang w:val="fr-FR"/>
        </w:rPr>
        <w:t>moins importante de la population</w:t>
      </w:r>
      <w:r w:rsidR="00093CA5">
        <w:rPr>
          <w:rStyle w:val="eop"/>
          <w:lang w:val="fr-FR"/>
        </w:rPr>
        <w:t xml:space="preserve">. </w:t>
      </w:r>
      <w:r w:rsidR="00093CA5" w:rsidRPr="00093CA5">
        <w:rPr>
          <w:rStyle w:val="eop"/>
          <w:i/>
          <w:iCs/>
          <w:lang w:val="fr-FR"/>
        </w:rPr>
        <w:t>East</w:t>
      </w:r>
      <w:r w:rsidR="00093CA5">
        <w:rPr>
          <w:rStyle w:val="eop"/>
          <w:i/>
          <w:iCs/>
          <w:lang w:val="fr-FR"/>
        </w:rPr>
        <w:t xml:space="preserve"> </w:t>
      </w:r>
      <w:r w:rsidR="00093CA5">
        <w:rPr>
          <w:rStyle w:val="eop"/>
          <w:lang w:val="fr-FR"/>
        </w:rPr>
        <w:t>observe une telle augmentation sur la décennie probablement à cause du développement du gas de schiste et de nouvelles raffineries</w:t>
      </w:r>
      <w:r w:rsidR="00093CA5" w:rsidRPr="00093CA5">
        <w:rPr>
          <w:rStyle w:val="eop"/>
          <w:lang w:val="fr-FR"/>
        </w:rPr>
        <w:t>.</w:t>
      </w:r>
      <w:r w:rsidR="00230B4F">
        <w:rPr>
          <w:rStyle w:val="eop"/>
          <w:lang w:val="fr-FR"/>
        </w:rPr>
        <w:t xml:space="preserve"> </w:t>
      </w:r>
      <w:r w:rsidR="004A2C62">
        <w:rPr>
          <w:rStyle w:val="eop"/>
          <w:lang w:val="fr-FR"/>
        </w:rPr>
        <w:t xml:space="preserve">En </w:t>
      </w:r>
      <w:r w:rsidR="004A2C62" w:rsidRPr="004A2C62">
        <w:rPr>
          <w:rStyle w:val="eop"/>
          <w:b/>
          <w:bCs/>
          <w:highlight w:val="yellow"/>
          <w:lang w:val="fr-FR"/>
        </w:rPr>
        <w:t>Figure XX</w:t>
      </w:r>
      <w:r w:rsidR="004A2C62">
        <w:rPr>
          <w:rStyle w:val="eop"/>
          <w:lang w:val="fr-FR"/>
        </w:rPr>
        <w:t xml:space="preserve"> d</w:t>
      </w:r>
      <w:r w:rsidR="00230B4F">
        <w:rPr>
          <w:rStyle w:val="eop"/>
          <w:lang w:val="fr-FR"/>
        </w:rPr>
        <w:t xml:space="preserve">e 2012 </w:t>
      </w:r>
      <w:r w:rsidR="00712FFD">
        <w:rPr>
          <w:rStyle w:val="eop"/>
          <w:lang w:val="fr-FR"/>
        </w:rPr>
        <w:t xml:space="preserve">à 2017, la croissance de la </w:t>
      </w:r>
      <w:r w:rsidR="00E45390">
        <w:rPr>
          <w:rStyle w:val="eop"/>
          <w:lang w:val="fr-FR"/>
        </w:rPr>
        <w:t xml:space="preserve">moyenne annuelle de la </w:t>
      </w:r>
      <w:r w:rsidR="00712FFD">
        <w:rPr>
          <w:rStyle w:val="eop"/>
          <w:lang w:val="fr-FR"/>
        </w:rPr>
        <w:t xml:space="preserve">demande journalière </w:t>
      </w:r>
      <w:r w:rsidR="00BF65A5">
        <w:rPr>
          <w:noProof/>
        </w:rPr>
        <w:drawing>
          <wp:anchor distT="0" distB="0" distL="114300" distR="114300" simplePos="0" relativeHeight="251663360" behindDoc="1" locked="0" layoutInCell="1" allowOverlap="1" wp14:anchorId="53266F05" wp14:editId="4BA9DA44">
            <wp:simplePos x="0" y="0"/>
            <wp:positionH relativeFrom="margin">
              <wp:align>right</wp:align>
            </wp:positionH>
            <wp:positionV relativeFrom="paragraph">
              <wp:posOffset>4148599</wp:posOffset>
            </wp:positionV>
            <wp:extent cx="2204720" cy="528955"/>
            <wp:effectExtent l="0" t="0" r="5080" b="4445"/>
            <wp:wrapTight wrapText="bothSides">
              <wp:wrapPolygon edited="0">
                <wp:start x="0" y="0"/>
                <wp:lineTo x="0" y="21004"/>
                <wp:lineTo x="21463" y="21004"/>
                <wp:lineTo x="21463"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4720" cy="528955"/>
                    </a:xfrm>
                    <a:prstGeom prst="rect">
                      <a:avLst/>
                    </a:prstGeom>
                  </pic:spPr>
                </pic:pic>
              </a:graphicData>
            </a:graphic>
            <wp14:sizeRelH relativeFrom="margin">
              <wp14:pctWidth>0</wp14:pctWidth>
            </wp14:sizeRelH>
            <wp14:sizeRelV relativeFrom="margin">
              <wp14:pctHeight>0</wp14:pctHeight>
            </wp14:sizeRelV>
          </wp:anchor>
        </w:drawing>
      </w:r>
      <w:r w:rsidR="00712FFD">
        <w:rPr>
          <w:rStyle w:val="eop"/>
          <w:lang w:val="fr-FR"/>
        </w:rPr>
        <w:t>d</w:t>
      </w:r>
      <w:r w:rsidR="00712FFD" w:rsidRPr="00712FFD">
        <w:rPr>
          <w:rStyle w:val="eop"/>
          <w:lang w:val="fr-FR"/>
        </w:rPr>
        <w:t>’</w:t>
      </w:r>
      <w:r w:rsidR="00712FFD">
        <w:rPr>
          <w:rStyle w:val="eop"/>
          <w:lang w:val="fr-FR"/>
        </w:rPr>
        <w:t>électricité oscille entre 0 à 3%</w:t>
      </w:r>
      <w:r w:rsidR="00E45390">
        <w:rPr>
          <w:rStyle w:val="eop"/>
          <w:lang w:val="fr-FR"/>
        </w:rPr>
        <w:t>. 2018 voit une croissance record de 6% grâ</w:t>
      </w:r>
      <w:r w:rsidR="00E45390" w:rsidRPr="00E45390">
        <w:rPr>
          <w:rStyle w:val="eop"/>
          <w:lang w:val="fr-FR"/>
        </w:rPr>
        <w:t xml:space="preserve">ce au boom </w:t>
      </w:r>
      <w:r w:rsidR="00E45390">
        <w:rPr>
          <w:rStyle w:val="eop"/>
          <w:lang w:val="fr-FR"/>
        </w:rPr>
        <w:t xml:space="preserve">économique et </w:t>
      </w:r>
      <w:r w:rsidR="00F37372" w:rsidRPr="00BF65A5">
        <w:rPr>
          <w:rStyle w:val="eop"/>
          <w:noProof/>
          <w:lang w:val="fr-FR"/>
        </w:rPr>
        <mc:AlternateContent>
          <mc:Choice Requires="wps">
            <w:drawing>
              <wp:anchor distT="45720" distB="45720" distL="114300" distR="114300" simplePos="0" relativeHeight="251666432" behindDoc="1" locked="0" layoutInCell="1" allowOverlap="1" wp14:anchorId="65B81FFB" wp14:editId="0A696E14">
                <wp:simplePos x="0" y="0"/>
                <wp:positionH relativeFrom="margin">
                  <wp:align>right</wp:align>
                </wp:positionH>
                <wp:positionV relativeFrom="paragraph">
                  <wp:posOffset>3963903</wp:posOffset>
                </wp:positionV>
                <wp:extent cx="1666240" cy="433705"/>
                <wp:effectExtent l="0" t="0" r="0" b="4445"/>
                <wp:wrapTight wrapText="bothSides">
                  <wp:wrapPolygon edited="0">
                    <wp:start x="741" y="0"/>
                    <wp:lineTo x="741" y="20873"/>
                    <wp:lineTo x="20744" y="20873"/>
                    <wp:lineTo x="20744" y="0"/>
                    <wp:lineTo x="74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433705"/>
                        </a:xfrm>
                        <a:prstGeom prst="rect">
                          <a:avLst/>
                        </a:prstGeom>
                        <a:noFill/>
                        <a:ln w="9525">
                          <a:noFill/>
                          <a:miter lim="800000"/>
                          <a:headEnd/>
                          <a:tailEnd/>
                        </a:ln>
                      </wps:spPr>
                      <wps:txbx>
                        <w:txbxContent>
                          <w:p w14:paraId="0F4D6C51" w14:textId="77777777" w:rsidR="00BF65A5" w:rsidRPr="00F37372" w:rsidRDefault="00BF65A5" w:rsidP="00BF65A5">
                            <w:pPr>
                              <w:rPr>
                                <w:b/>
                                <w:bCs/>
                                <w:sz w:val="14"/>
                                <w:szCs w:val="14"/>
                              </w:rPr>
                            </w:pPr>
                            <w:r w:rsidRPr="00F37372">
                              <w:rPr>
                                <w:b/>
                                <w:bCs/>
                                <w:sz w:val="14"/>
                                <w:szCs w:val="14"/>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81FFB" id="_x0000_t202" coordsize="21600,21600" o:spt="202" path="m,l,21600r21600,l21600,xe">
                <v:stroke joinstyle="miter"/>
                <v:path gradientshapeok="t" o:connecttype="rect"/>
              </v:shapetype>
              <v:shape id="Text Box 2" o:spid="_x0000_s1026" type="#_x0000_t202" style="position:absolute;left:0;text-align:left;margin-left:80pt;margin-top:312.1pt;width:131.2pt;height:34.1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" filled="f" stroked="f">
                <v:textbox>
                  <w:txbxContent>
                    <w:p w14:paraId="0F4D6C51" w14:textId="77777777" w:rsidR="00BF65A5" w:rsidRPr="00F37372" w:rsidRDefault="00BF65A5" w:rsidP="00BF65A5">
                      <w:pPr>
                        <w:rPr>
                          <w:b/>
                          <w:bCs/>
                          <w:sz w:val="14"/>
                          <w:szCs w:val="14"/>
                        </w:rPr>
                      </w:pPr>
                      <w:r w:rsidRPr="00F37372">
                        <w:rPr>
                          <w:b/>
                          <w:bCs/>
                          <w:sz w:val="14"/>
                          <w:szCs w:val="14"/>
                        </w:rPr>
                        <w:t>Composante de Tendance</w:t>
                      </w:r>
                    </w:p>
                  </w:txbxContent>
                </v:textbox>
                <w10:wrap type="tight" anchorx="margin"/>
              </v:shape>
            </w:pict>
          </mc:Fallback>
        </mc:AlternateContent>
      </w:r>
      <w:r w:rsidR="00E45390">
        <w:rPr>
          <w:rStyle w:val="eop"/>
          <w:lang w:val="fr-FR"/>
        </w:rPr>
        <w:t xml:space="preserve">la production </w:t>
      </w:r>
      <w:r w:rsidR="0095004C">
        <w:rPr>
          <w:noProof/>
        </w:rPr>
        <w:drawing>
          <wp:anchor distT="0" distB="0" distL="114300" distR="114300" simplePos="0" relativeHeight="251664384" behindDoc="1" locked="0" layoutInCell="1" allowOverlap="1" wp14:anchorId="5FCF8E34" wp14:editId="22868FF6">
            <wp:simplePos x="0" y="0"/>
            <wp:positionH relativeFrom="column">
              <wp:posOffset>3876675</wp:posOffset>
            </wp:positionH>
            <wp:positionV relativeFrom="paragraph">
              <wp:posOffset>4693598</wp:posOffset>
            </wp:positionV>
            <wp:extent cx="1954530" cy="219075"/>
            <wp:effectExtent l="0" t="0" r="7620" b="9525"/>
            <wp:wrapTight wrapText="bothSides">
              <wp:wrapPolygon edited="0">
                <wp:start x="0" y="0"/>
                <wp:lineTo x="0" y="20661"/>
                <wp:lineTo x="21474" y="20661"/>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4530" cy="219075"/>
                    </a:xfrm>
                    <a:prstGeom prst="rect">
                      <a:avLst/>
                    </a:prstGeom>
                  </pic:spPr>
                </pic:pic>
              </a:graphicData>
            </a:graphic>
            <wp14:sizeRelH relativeFrom="margin">
              <wp14:pctWidth>0</wp14:pctWidth>
            </wp14:sizeRelH>
            <wp14:sizeRelV relativeFrom="margin">
              <wp14:pctHeight>0</wp14:pctHeight>
            </wp14:sizeRelV>
          </wp:anchor>
        </w:drawing>
      </w:r>
      <w:r w:rsidR="00E45390">
        <w:rPr>
          <w:rStyle w:val="eop"/>
          <w:lang w:val="fr-FR"/>
        </w:rPr>
        <w:t>pétrolière record</w:t>
      </w:r>
      <w:r w:rsidR="00730B9E">
        <w:rPr>
          <w:rStyle w:val="eop"/>
          <w:lang w:val="fr-FR"/>
        </w:rPr>
        <w:t> ;</w:t>
      </w:r>
      <w:r w:rsidR="00E45390">
        <w:rPr>
          <w:rStyle w:val="eop"/>
          <w:lang w:val="fr-FR"/>
        </w:rPr>
        <w:t xml:space="preserve"> avant de chuter avec la covid pour toutes les régions à l</w:t>
      </w:r>
      <w:r w:rsidR="00E45390" w:rsidRPr="00E45390">
        <w:rPr>
          <w:rStyle w:val="eop"/>
          <w:lang w:val="fr-FR"/>
        </w:rPr>
        <w:t>’</w:t>
      </w:r>
      <w:r w:rsidR="00E45390">
        <w:rPr>
          <w:rStyle w:val="eop"/>
          <w:lang w:val="fr-FR"/>
        </w:rPr>
        <w:t xml:space="preserve">exception de </w:t>
      </w:r>
      <w:r w:rsidR="00E45390">
        <w:rPr>
          <w:rStyle w:val="eop"/>
          <w:i/>
          <w:iCs/>
          <w:lang w:val="fr-FR"/>
        </w:rPr>
        <w:t>East</w:t>
      </w:r>
      <w:r w:rsidR="00D7612A" w:rsidRPr="00D7612A">
        <w:rPr>
          <w:rStyle w:val="eop"/>
          <w:lang w:val="fr-FR"/>
        </w:rPr>
        <w:t>.</w:t>
      </w:r>
      <w:r w:rsidR="003D5A19">
        <w:rPr>
          <w:rStyle w:val="eop"/>
          <w:lang w:val="fr-FR"/>
        </w:rPr>
        <w:t xml:space="preserve"> </w:t>
      </w:r>
      <w:r w:rsidR="004A2C62">
        <w:rPr>
          <w:rStyle w:val="eop"/>
          <w:lang w:val="fr-FR"/>
        </w:rPr>
        <w:t>A travers l</w:t>
      </w:r>
      <w:r w:rsidR="00730B9E">
        <w:rPr>
          <w:rStyle w:val="eop"/>
          <w:lang w:val="fr-FR"/>
        </w:rPr>
        <w:t>a</w:t>
      </w:r>
      <w:r w:rsidR="004A2C62">
        <w:rPr>
          <w:rStyle w:val="eop"/>
          <w:lang w:val="fr-FR"/>
        </w:rPr>
        <w:t xml:space="preserve"> composant</w:t>
      </w:r>
      <w:r w:rsidR="00730B9E">
        <w:rPr>
          <w:rStyle w:val="eop"/>
          <w:lang w:val="fr-FR"/>
        </w:rPr>
        <w:t>e</w:t>
      </w:r>
      <w:r w:rsidR="004A2C62">
        <w:rPr>
          <w:rStyle w:val="eop"/>
          <w:lang w:val="fr-FR"/>
        </w:rPr>
        <w:t xml:space="preserve"> de saisonnalité de la décomposition </w:t>
      </w:r>
      <w:proofErr w:type="spellStart"/>
      <w:r w:rsidR="004A2C62" w:rsidRPr="004A2C62">
        <w:rPr>
          <w:rStyle w:val="eop"/>
          <w:i/>
          <w:iCs/>
          <w:lang w:val="fr-FR"/>
        </w:rPr>
        <w:t>stl</w:t>
      </w:r>
      <w:proofErr w:type="spellEnd"/>
      <w:r w:rsidR="004A2C62">
        <w:rPr>
          <w:rStyle w:val="eop"/>
          <w:i/>
          <w:iCs/>
          <w:lang w:val="fr-FR"/>
        </w:rPr>
        <w:t xml:space="preserve">, </w:t>
      </w:r>
      <w:r w:rsidR="004A2C62" w:rsidRPr="004A2C62">
        <w:rPr>
          <w:rStyle w:val="eop"/>
          <w:lang w:val="fr-FR"/>
        </w:rPr>
        <w:t>nous</w:t>
      </w:r>
      <w:r w:rsidR="004A2C62">
        <w:rPr>
          <w:rStyle w:val="eop"/>
          <w:i/>
          <w:iCs/>
          <w:lang w:val="fr-FR"/>
        </w:rPr>
        <w:t xml:space="preserve"> </w:t>
      </w:r>
      <w:r w:rsidR="004A2C62">
        <w:rPr>
          <w:rStyle w:val="eop"/>
          <w:lang w:val="fr-FR"/>
        </w:rPr>
        <w:t>observons une saisonnalité</w:t>
      </w:r>
      <w:r w:rsidR="001F5EC5">
        <w:rPr>
          <w:rStyle w:val="eop"/>
          <w:lang w:val="fr-FR"/>
        </w:rPr>
        <w:t xml:space="preserve"> annuelle</w:t>
      </w:r>
      <w:r w:rsidR="004A2C62">
        <w:rPr>
          <w:rStyle w:val="eop"/>
          <w:lang w:val="fr-FR"/>
        </w:rPr>
        <w:t xml:space="preserve"> des pics de de la demande journalière en hiver (décembre à mars</w:t>
      </w:r>
      <w:r w:rsidR="004A2C62" w:rsidRPr="004A2C62">
        <w:rPr>
          <w:rStyle w:val="eop"/>
          <w:lang w:val="fr-FR"/>
        </w:rPr>
        <w:t>)</w:t>
      </w:r>
      <w:r w:rsidR="004A2C62">
        <w:rPr>
          <w:rStyle w:val="eop"/>
          <w:lang w:val="fr-FR"/>
        </w:rPr>
        <w:t xml:space="preserve"> et été </w:t>
      </w:r>
      <w:r w:rsidR="004A2C62" w:rsidRPr="004A2C62">
        <w:rPr>
          <w:rStyle w:val="eop"/>
          <w:lang w:val="fr-FR"/>
        </w:rPr>
        <w:t>(j</w:t>
      </w:r>
      <w:r w:rsidR="004A2C62">
        <w:rPr>
          <w:rStyle w:val="eop"/>
          <w:lang w:val="fr-FR"/>
        </w:rPr>
        <w:t>uin</w:t>
      </w:r>
      <w:r w:rsidR="00C110EA">
        <w:rPr>
          <w:rStyle w:val="eop"/>
          <w:lang w:val="fr-FR"/>
        </w:rPr>
        <w:t>-</w:t>
      </w:r>
      <w:r w:rsidR="004A2C62">
        <w:rPr>
          <w:rStyle w:val="eop"/>
          <w:lang w:val="fr-FR"/>
        </w:rPr>
        <w:t>août</w:t>
      </w:r>
      <w:r w:rsidR="004A2C62" w:rsidRPr="004A2C62">
        <w:rPr>
          <w:rStyle w:val="eop"/>
          <w:lang w:val="fr-FR"/>
        </w:rPr>
        <w:t>)</w:t>
      </w:r>
      <w:r w:rsidR="004A2C62">
        <w:rPr>
          <w:rStyle w:val="eop"/>
          <w:lang w:val="fr-FR"/>
        </w:rPr>
        <w:t xml:space="preserve"> dans les</w:t>
      </w:r>
      <w:r w:rsidR="00B82F6C">
        <w:rPr>
          <w:rStyle w:val="eop"/>
          <w:lang w:val="fr-FR"/>
        </w:rPr>
        <w:t xml:space="preserve"> 3</w:t>
      </w:r>
      <w:r w:rsidR="004A2C62">
        <w:rPr>
          <w:rStyle w:val="eop"/>
          <w:lang w:val="fr-FR"/>
        </w:rPr>
        <w:t xml:space="preserve"> régions. La </w:t>
      </w:r>
      <w:r w:rsidR="004A2C62" w:rsidRPr="004A2C62">
        <w:rPr>
          <w:rStyle w:val="eop"/>
          <w:b/>
          <w:bCs/>
          <w:highlight w:val="yellow"/>
          <w:lang w:val="fr-FR"/>
        </w:rPr>
        <w:t>figure XX</w:t>
      </w:r>
      <w:r w:rsidR="004A2C62">
        <w:rPr>
          <w:rStyle w:val="eop"/>
          <w:b/>
          <w:bCs/>
          <w:lang w:val="fr-FR"/>
        </w:rPr>
        <w:t xml:space="preserve"> </w:t>
      </w:r>
      <w:r w:rsidR="004A2C62">
        <w:rPr>
          <w:rStyle w:val="eop"/>
          <w:lang w:val="fr-FR"/>
        </w:rPr>
        <w:t>nous le confirme et montre</w:t>
      </w:r>
      <w:r w:rsidR="001F5EC5">
        <w:rPr>
          <w:rStyle w:val="eop"/>
          <w:lang w:val="fr-FR"/>
        </w:rPr>
        <w:t xml:space="preserve"> que cette saisonnalité hiver</w:t>
      </w:r>
      <w:r w:rsidR="001F5EC5" w:rsidRPr="001F5EC5">
        <w:rPr>
          <w:rStyle w:val="eop"/>
          <w:lang w:val="fr-FR"/>
        </w:rPr>
        <w:t>/</w:t>
      </w:r>
      <w:r w:rsidR="001F5EC5">
        <w:rPr>
          <w:rStyle w:val="eop"/>
          <w:lang w:val="fr-FR"/>
        </w:rPr>
        <w:t xml:space="preserve">été est plus prononcée en </w:t>
      </w:r>
      <w:r w:rsidR="001F5EC5" w:rsidRPr="001F5EC5">
        <w:rPr>
          <w:rStyle w:val="eop"/>
          <w:i/>
          <w:iCs/>
          <w:lang w:val="fr-FR"/>
        </w:rPr>
        <w:t>North Central</w:t>
      </w:r>
      <w:r w:rsidR="001F5EC5">
        <w:rPr>
          <w:rStyle w:val="eop"/>
          <w:lang w:val="fr-FR"/>
        </w:rPr>
        <w:t>, région plus sensible aux changement de température du fait de sa population plus importante, qu</w:t>
      </w:r>
      <w:r w:rsidR="0095004C">
        <w:rPr>
          <w:rStyle w:val="eop"/>
          <w:lang w:val="fr-FR"/>
        </w:rPr>
        <w:t>’en</w:t>
      </w:r>
      <w:r w:rsidR="001F5EC5">
        <w:rPr>
          <w:rStyle w:val="eop"/>
          <w:lang w:val="fr-FR"/>
        </w:rPr>
        <w:t xml:space="preserve"> </w:t>
      </w:r>
      <w:r w:rsidR="001F5EC5" w:rsidRPr="0095004C">
        <w:rPr>
          <w:rStyle w:val="eop"/>
          <w:i/>
          <w:iCs/>
          <w:lang w:val="fr-FR"/>
        </w:rPr>
        <w:t>North</w:t>
      </w:r>
      <w:r w:rsidR="001F5EC5">
        <w:rPr>
          <w:rStyle w:val="eop"/>
          <w:lang w:val="fr-FR"/>
        </w:rPr>
        <w:t xml:space="preserve"> et </w:t>
      </w:r>
      <w:r w:rsidR="001F5EC5" w:rsidRPr="0095004C">
        <w:rPr>
          <w:rStyle w:val="eop"/>
          <w:i/>
          <w:iCs/>
          <w:lang w:val="fr-FR"/>
        </w:rPr>
        <w:t>East</w:t>
      </w:r>
      <w:r w:rsidR="001F5EC5">
        <w:rPr>
          <w:rStyle w:val="eop"/>
          <w:lang w:val="fr-FR"/>
        </w:rPr>
        <w:t xml:space="preserve"> où la part des secteurs primaires et secondaires </w:t>
      </w:r>
      <w:r w:rsidR="001F5EC5" w:rsidRPr="001F5EC5">
        <w:rPr>
          <w:rStyle w:val="eop"/>
          <w:lang w:val="fr-FR"/>
        </w:rPr>
        <w:t>(m</w:t>
      </w:r>
      <w:r w:rsidR="001F5EC5">
        <w:rPr>
          <w:rStyle w:val="eop"/>
          <w:lang w:val="fr-FR"/>
        </w:rPr>
        <w:t>oins sensible aux changement de température</w:t>
      </w:r>
      <w:r w:rsidR="001F5EC5" w:rsidRPr="0095004C">
        <w:rPr>
          <w:rStyle w:val="eop"/>
          <w:lang w:val="fr-FR"/>
        </w:rPr>
        <w:t>)</w:t>
      </w:r>
      <w:r w:rsidR="001F5EC5">
        <w:rPr>
          <w:rStyle w:val="eop"/>
          <w:lang w:val="fr-FR"/>
        </w:rPr>
        <w:t xml:space="preserve"> est plus importante.</w:t>
      </w:r>
      <w:r w:rsidR="0095004C" w:rsidRPr="0095004C">
        <w:rPr>
          <w:noProof/>
          <w:lang w:val="fr-FR"/>
        </w:rPr>
        <w:t xml:space="preserve"> </w:t>
      </w:r>
      <w:r w:rsidR="0095004C">
        <w:rPr>
          <w:noProof/>
          <w:lang w:val="fr-FR"/>
        </w:rPr>
        <w:t>Globalement</w:t>
      </w:r>
      <w:r w:rsidR="00F65439">
        <w:rPr>
          <w:noProof/>
          <w:lang w:val="fr-FR"/>
        </w:rPr>
        <w:t>, sur les 3 régions,</w:t>
      </w:r>
      <w:r w:rsidR="0095004C">
        <w:rPr>
          <w:noProof/>
          <w:lang w:val="fr-FR"/>
        </w:rPr>
        <w:t xml:space="preserve"> la tendance </w:t>
      </w:r>
      <w:r w:rsidR="00F65439">
        <w:rPr>
          <w:noProof/>
          <w:lang w:val="fr-FR"/>
        </w:rPr>
        <w:t xml:space="preserve">sur la période entière </w:t>
      </w:r>
      <w:r w:rsidR="0095004C">
        <w:rPr>
          <w:noProof/>
          <w:lang w:val="fr-FR"/>
        </w:rPr>
        <w:t>est à la hausse</w:t>
      </w:r>
      <w:r w:rsidR="00F65439" w:rsidRPr="00F65439">
        <w:rPr>
          <w:noProof/>
          <w:lang w:val="fr-FR"/>
        </w:rPr>
        <w:t>.</w:t>
      </w:r>
      <w:r w:rsidR="00F65439">
        <w:rPr>
          <w:noProof/>
          <w:lang w:val="fr-FR"/>
        </w:rPr>
        <w:t xml:space="preserve"> Post crise financière, la tendance est à la croissance modérée avant de croître à partir de 2017</w:t>
      </w:r>
      <w:r w:rsidR="00F65439" w:rsidRPr="00F65439">
        <w:rPr>
          <w:noProof/>
          <w:lang w:val="fr-FR"/>
        </w:rPr>
        <w:t>.</w:t>
      </w:r>
      <w:r w:rsidR="00F65439">
        <w:rPr>
          <w:noProof/>
          <w:lang w:val="fr-FR"/>
        </w:rPr>
        <w:t xml:space="preserve"> Cette tendance à la hausse est soutenue par </w:t>
      </w:r>
      <w:r w:rsidR="00F65439" w:rsidRPr="00F65439">
        <w:rPr>
          <w:i/>
          <w:iCs/>
          <w:noProof/>
          <w:lang w:val="fr-FR"/>
        </w:rPr>
        <w:t>North Central et East.</w:t>
      </w:r>
      <w:r w:rsidR="00F65439">
        <w:rPr>
          <w:noProof/>
          <w:lang w:val="fr-FR"/>
        </w:rPr>
        <w:t xml:space="preserve"> Manifestement, les données sont non</w:t>
      </w:r>
      <w:r w:rsidR="00C64895">
        <w:rPr>
          <w:noProof/>
          <w:lang w:val="fr-FR"/>
        </w:rPr>
        <w:t>-</w:t>
      </w:r>
      <w:r w:rsidR="00F65439">
        <w:rPr>
          <w:noProof/>
          <w:lang w:val="fr-FR"/>
        </w:rPr>
        <w:t>stationnaires</w:t>
      </w:r>
      <w:r w:rsidR="00F65439" w:rsidRPr="00C64895">
        <w:rPr>
          <w:noProof/>
          <w:lang w:val="fr-FR"/>
        </w:rPr>
        <w:t>.</w:t>
      </w:r>
      <w:r w:rsidR="00C64895" w:rsidRPr="00C64895">
        <w:rPr>
          <w:noProof/>
          <w:lang w:val="fr-FR"/>
        </w:rPr>
        <w:t xml:space="preserve"> L’analyse des </w:t>
      </w:r>
      <w:r w:rsidR="00C64895" w:rsidRPr="00C64895">
        <w:rPr>
          <w:i/>
          <w:iCs/>
          <w:noProof/>
          <w:lang w:val="fr-FR"/>
        </w:rPr>
        <w:t xml:space="preserve">IQR </w:t>
      </w:r>
      <w:r w:rsidR="00C64895" w:rsidRPr="00C64895">
        <w:rPr>
          <w:noProof/>
          <w:lang w:val="fr-FR"/>
        </w:rPr>
        <w:t>a</w:t>
      </w:r>
      <w:r w:rsidR="00C64895">
        <w:rPr>
          <w:noProof/>
          <w:lang w:val="fr-FR"/>
        </w:rPr>
        <w:t>vec les Box plot nous montre une seule valeur aberrante dans l’aggrégat des 3 régions en février 2021, lors de la tempête hivernale extrême</w:t>
      </w:r>
      <w:r w:rsidR="00C64895" w:rsidRPr="00C64895">
        <w:rPr>
          <w:noProof/>
          <w:lang w:val="fr-FR"/>
        </w:rPr>
        <w:t>.</w:t>
      </w:r>
      <w:r w:rsidR="00C64895">
        <w:rPr>
          <w:noProof/>
          <w:lang w:val="fr-FR"/>
        </w:rPr>
        <w:t xml:space="preserve"> La région North présente 2 valeurs aberrantes en 2017 et 2021 respectivement</w:t>
      </w:r>
      <w:r w:rsidR="00C64895" w:rsidRPr="00C64895">
        <w:rPr>
          <w:noProof/>
          <w:lang w:val="fr-FR"/>
        </w:rPr>
        <w:t xml:space="preserve">. </w:t>
      </w:r>
      <w:r w:rsidR="00C64895">
        <w:rPr>
          <w:noProof/>
          <w:lang w:val="fr-FR"/>
        </w:rPr>
        <w:t xml:space="preserve">North Central en présente 1 en février 2021 </w:t>
      </w:r>
      <w:r w:rsidR="00C64895" w:rsidRPr="00BF65A5">
        <w:rPr>
          <w:noProof/>
          <w:lang w:val="fr-FR"/>
        </w:rPr>
        <w:t>(temp</w:t>
      </w:r>
      <w:r w:rsidR="00C64895">
        <w:rPr>
          <w:noProof/>
          <w:lang w:val="fr-FR"/>
        </w:rPr>
        <w:t>ête hivernale</w:t>
      </w:r>
      <w:r w:rsidR="00C64895" w:rsidRPr="00BF65A5">
        <w:rPr>
          <w:noProof/>
          <w:lang w:val="fr-FR"/>
        </w:rPr>
        <w:t>)</w:t>
      </w:r>
      <w:r w:rsidR="00BF65A5" w:rsidRPr="00BF65A5">
        <w:rPr>
          <w:noProof/>
          <w:lang w:val="fr-FR"/>
        </w:rPr>
        <w:t xml:space="preserve"> de m</w:t>
      </w:r>
      <w:r w:rsidR="00BF65A5">
        <w:rPr>
          <w:noProof/>
          <w:lang w:val="fr-FR"/>
        </w:rPr>
        <w:t>ême que la région East</w:t>
      </w:r>
      <w:r w:rsidR="00BF65A5" w:rsidRPr="00BF65A5">
        <w:rPr>
          <w:noProof/>
          <w:lang w:val="fr-FR"/>
        </w:rPr>
        <w:t>.</w:t>
      </w:r>
      <w:r w:rsidR="00BF65A5">
        <w:rPr>
          <w:noProof/>
          <w:lang w:val="fr-FR"/>
        </w:rPr>
        <w:t xml:space="preserve"> </w:t>
      </w:r>
      <w:r w:rsidR="002A3982">
        <w:rPr>
          <w:noProof/>
          <w:lang w:val="fr-FR"/>
        </w:rPr>
        <w:t>En dessaisonalisant la s</w:t>
      </w:r>
      <w:r w:rsidR="00730B9E">
        <w:rPr>
          <w:noProof/>
          <w:lang w:val="fr-FR"/>
        </w:rPr>
        <w:t>é</w:t>
      </w:r>
      <w:r w:rsidR="002A3982">
        <w:rPr>
          <w:noProof/>
          <w:lang w:val="fr-FR"/>
        </w:rPr>
        <w:t xml:space="preserve">rie </w:t>
      </w:r>
      <w:r w:rsidR="002A3982">
        <w:rPr>
          <w:noProof/>
          <w:lang w:val="fr-FR"/>
        </w:rPr>
        <w:lastRenderedPageBreak/>
        <w:t>chronologique, nous aurions pu am</w:t>
      </w:r>
      <w:r w:rsidR="00730B9E">
        <w:rPr>
          <w:noProof/>
          <w:lang w:val="fr-FR"/>
        </w:rPr>
        <w:t>é</w:t>
      </w:r>
      <w:r w:rsidR="002A3982">
        <w:rPr>
          <w:noProof/>
          <w:lang w:val="fr-FR"/>
        </w:rPr>
        <w:t xml:space="preserve">liorer cette analyse. </w:t>
      </w:r>
      <w:r w:rsidR="00BF65A5">
        <w:rPr>
          <w:noProof/>
          <w:lang w:val="fr-FR"/>
        </w:rPr>
        <w:t>Aucun traitement n’est fait</w:t>
      </w:r>
      <w:r w:rsidR="004F0FF0">
        <w:rPr>
          <w:noProof/>
          <w:lang w:val="fr-FR"/>
        </w:rPr>
        <w:t>,</w:t>
      </w:r>
      <w:r w:rsidR="00BF65A5">
        <w:rPr>
          <w:noProof/>
          <w:lang w:val="fr-FR"/>
        </w:rPr>
        <w:t xml:space="preserve"> pour le </w:t>
      </w:r>
      <w:r w:rsidR="00E84FF3">
        <w:rPr>
          <w:noProof/>
        </w:rPr>
        <w:drawing>
          <wp:anchor distT="0" distB="0" distL="114300" distR="114300" simplePos="0" relativeHeight="251679744" behindDoc="1" locked="0" layoutInCell="1" allowOverlap="1" wp14:anchorId="4007D340" wp14:editId="337DF996">
            <wp:simplePos x="0" y="0"/>
            <wp:positionH relativeFrom="margin">
              <wp:align>right</wp:align>
            </wp:positionH>
            <wp:positionV relativeFrom="paragraph">
              <wp:posOffset>563245</wp:posOffset>
            </wp:positionV>
            <wp:extent cx="1884680" cy="1915795"/>
            <wp:effectExtent l="0" t="0" r="1270" b="8255"/>
            <wp:wrapTight wrapText="bothSides">
              <wp:wrapPolygon edited="0">
                <wp:start x="0" y="0"/>
                <wp:lineTo x="0" y="21478"/>
                <wp:lineTo x="21396" y="21478"/>
                <wp:lineTo x="21396" y="0"/>
                <wp:lineTo x="0" y="0"/>
              </wp:wrapPolygon>
            </wp:wrapTight>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4680" cy="1915795"/>
                    </a:xfrm>
                    <a:prstGeom prst="rect">
                      <a:avLst/>
                    </a:prstGeom>
                  </pic:spPr>
                </pic:pic>
              </a:graphicData>
            </a:graphic>
            <wp14:sizeRelH relativeFrom="margin">
              <wp14:pctWidth>0</wp14:pctWidth>
            </wp14:sizeRelH>
            <wp14:sizeRelV relativeFrom="margin">
              <wp14:pctHeight>0</wp14:pctHeight>
            </wp14:sizeRelV>
          </wp:anchor>
        </w:drawing>
      </w:r>
      <w:r w:rsidR="00BF65A5">
        <w:rPr>
          <w:noProof/>
          <w:lang w:val="fr-FR"/>
        </w:rPr>
        <w:t>moment</w:t>
      </w:r>
      <w:r w:rsidR="004F0FF0">
        <w:rPr>
          <w:noProof/>
          <w:lang w:val="fr-FR"/>
        </w:rPr>
        <w:t>,</w:t>
      </w:r>
      <w:r w:rsidR="00BF65A5">
        <w:rPr>
          <w:noProof/>
          <w:lang w:val="fr-FR"/>
        </w:rPr>
        <w:t xml:space="preserve"> car ces données ne sont pas dans l</w:t>
      </w:r>
      <w:r w:rsidR="00BF65A5" w:rsidRPr="00BF65A5">
        <w:rPr>
          <w:noProof/>
          <w:lang w:val="fr-FR"/>
        </w:rPr>
        <w:t>’</w:t>
      </w:r>
      <w:r w:rsidR="00BF65A5">
        <w:rPr>
          <w:noProof/>
          <w:lang w:val="fr-FR"/>
        </w:rPr>
        <w:t>ensemble d’entraînement</w:t>
      </w:r>
      <w:r w:rsidR="00BF65A5" w:rsidRPr="00BF65A5">
        <w:rPr>
          <w:noProof/>
          <w:lang w:val="fr-FR"/>
        </w:rPr>
        <w:t>.</w:t>
      </w:r>
      <w:r w:rsidR="00F67FAD">
        <w:rPr>
          <w:noProof/>
          <w:lang w:val="fr-FR"/>
        </w:rPr>
        <w:t xml:space="preserve"> Nous avons aussi pu observer un effet de fin de semaine et de jours ferie, de meme qu’une interaction jours ferie </w:t>
      </w:r>
      <w:r w:rsidR="001F3F8E">
        <w:rPr>
          <w:noProof/>
        </w:rPr>
        <mc:AlternateContent>
          <mc:Choice Requires="wps">
            <w:drawing>
              <wp:anchor distT="0" distB="0" distL="114300" distR="114300" simplePos="0" relativeHeight="251675648" behindDoc="0" locked="0" layoutInCell="1" allowOverlap="1" wp14:anchorId="1917C755" wp14:editId="05EB48F7">
                <wp:simplePos x="0" y="0"/>
                <wp:positionH relativeFrom="column">
                  <wp:posOffset>5104435</wp:posOffset>
                </wp:positionH>
                <wp:positionV relativeFrom="paragraph">
                  <wp:posOffset>3154101</wp:posOffset>
                </wp:positionV>
                <wp:extent cx="758142" cy="920188"/>
                <wp:effectExtent l="0" t="0" r="23495" b="13335"/>
                <wp:wrapNone/>
                <wp:docPr id="14" name="Rectangle 14"/>
                <wp:cNvGraphicFramePr/>
                <a:graphic xmlns:a="http://schemas.openxmlformats.org/drawingml/2006/main">
                  <a:graphicData uri="http://schemas.microsoft.com/office/word/2010/wordprocessingShape">
                    <wps:wsp>
                      <wps:cNvSpPr/>
                      <wps:spPr>
                        <a:xfrm>
                          <a:off x="0" y="0"/>
                          <a:ext cx="758142" cy="9201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F61F5" w14:textId="746EC1C0" w:rsidR="001F3F8E" w:rsidRDefault="001F3F8E" w:rsidP="001F3F8E">
                            <w:pPr>
                              <w:jc w:val="center"/>
                              <w:rPr>
                                <w:lang w:val="fr-FR"/>
                              </w:rPr>
                            </w:pPr>
                            <w:r w:rsidRPr="001F3F8E">
                              <w:rPr>
                                <w:highlight w:val="black"/>
                                <w:lang w:val="fr-FR"/>
                              </w:rPr>
                              <w:t>Test</w:t>
                            </w:r>
                          </w:p>
                          <w:p w14:paraId="54D12491" w14:textId="77777777" w:rsidR="001F3F8E" w:rsidRPr="001F3F8E" w:rsidRDefault="001F3F8E" w:rsidP="001F3F8E">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7C755" id="Rectangle 14" o:spid="_x0000_s1027" style="position:absolute;left:0;text-align:left;margin-left:401.9pt;margin-top:248.35pt;width:59.7pt;height:72.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" filled="f" strokecolor="black [3213]" strokeweight="1pt">
                <v:textbox>
                  <w:txbxContent>
                    <w:p w14:paraId="63EF61F5" w14:textId="746EC1C0" w:rsidR="001F3F8E" w:rsidRDefault="001F3F8E" w:rsidP="001F3F8E">
                      <w:pPr>
                        <w:jc w:val="center"/>
                        <w:rPr>
                          <w:lang w:val="fr-FR"/>
                        </w:rPr>
                      </w:pPr>
                      <w:r w:rsidRPr="001F3F8E">
                        <w:rPr>
                          <w:highlight w:val="black"/>
                          <w:lang w:val="fr-FR"/>
                        </w:rPr>
                        <w:t>Test</w:t>
                      </w:r>
                    </w:p>
                    <w:p w14:paraId="54D12491" w14:textId="77777777" w:rsidR="001F3F8E" w:rsidRPr="001F3F8E" w:rsidRDefault="001F3F8E" w:rsidP="001F3F8E">
                      <w:pPr>
                        <w:jc w:val="center"/>
                        <w:rPr>
                          <w:lang w:val="fr-FR"/>
                        </w:rPr>
                      </w:pPr>
                    </w:p>
                  </w:txbxContent>
                </v:textbox>
              </v:rect>
            </w:pict>
          </mc:Fallback>
        </mc:AlternateContent>
      </w:r>
      <w:r w:rsidR="001F3F8E">
        <w:rPr>
          <w:noProof/>
        </w:rPr>
        <w:drawing>
          <wp:anchor distT="0" distB="0" distL="114300" distR="114300" simplePos="0" relativeHeight="251670528" behindDoc="1" locked="0" layoutInCell="1" allowOverlap="1" wp14:anchorId="5ADFC20B" wp14:editId="4ABF9261">
            <wp:simplePos x="0" y="0"/>
            <wp:positionH relativeFrom="margin">
              <wp:posOffset>1931252</wp:posOffset>
            </wp:positionH>
            <wp:positionV relativeFrom="paragraph">
              <wp:posOffset>3136306</wp:posOffset>
            </wp:positionV>
            <wp:extent cx="4196715" cy="1006475"/>
            <wp:effectExtent l="0" t="0" r="0" b="3175"/>
            <wp:wrapTight wrapText="bothSides">
              <wp:wrapPolygon edited="0">
                <wp:start x="0" y="0"/>
                <wp:lineTo x="0" y="21259"/>
                <wp:lineTo x="21473" y="21259"/>
                <wp:lineTo x="21473"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6715" cy="1006475"/>
                    </a:xfrm>
                    <a:prstGeom prst="rect">
                      <a:avLst/>
                    </a:prstGeom>
                  </pic:spPr>
                </pic:pic>
              </a:graphicData>
            </a:graphic>
            <wp14:sizeRelH relativeFrom="margin">
              <wp14:pctWidth>0</wp14:pctWidth>
            </wp14:sizeRelH>
            <wp14:sizeRelV relativeFrom="margin">
              <wp14:pctHeight>0</wp14:pctHeight>
            </wp14:sizeRelV>
          </wp:anchor>
        </w:drawing>
      </w:r>
      <w:r w:rsidR="00F67FAD">
        <w:rPr>
          <w:noProof/>
          <w:lang w:val="fr-FR"/>
        </w:rPr>
        <w:t xml:space="preserve">et </w:t>
      </w:r>
      <w:r w:rsidR="00122703" w:rsidRPr="00BF65A5">
        <w:rPr>
          <w:rStyle w:val="eop"/>
          <w:noProof/>
          <w:lang w:val="fr-FR"/>
        </w:rPr>
        <mc:AlternateContent>
          <mc:Choice Requires="wps">
            <w:drawing>
              <wp:anchor distT="45720" distB="45720" distL="114300" distR="114300" simplePos="0" relativeHeight="251677696" behindDoc="1" locked="0" layoutInCell="1" allowOverlap="1" wp14:anchorId="1A167599" wp14:editId="194EF0B9">
                <wp:simplePos x="0" y="0"/>
                <wp:positionH relativeFrom="margin">
                  <wp:align>right</wp:align>
                </wp:positionH>
                <wp:positionV relativeFrom="paragraph">
                  <wp:posOffset>2862580</wp:posOffset>
                </wp:positionV>
                <wp:extent cx="2686685" cy="433705"/>
                <wp:effectExtent l="0" t="0" r="0" b="4445"/>
                <wp:wrapTight wrapText="bothSides">
                  <wp:wrapPolygon edited="0">
                    <wp:start x="459" y="0"/>
                    <wp:lineTo x="459" y="20873"/>
                    <wp:lineTo x="20982" y="20873"/>
                    <wp:lineTo x="20982" y="0"/>
                    <wp:lineTo x="459"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433705"/>
                        </a:xfrm>
                        <a:prstGeom prst="rect">
                          <a:avLst/>
                        </a:prstGeom>
                        <a:noFill/>
                        <a:ln w="9525">
                          <a:noFill/>
                          <a:miter lim="800000"/>
                          <a:headEnd/>
                          <a:tailEnd/>
                        </a:ln>
                      </wps:spPr>
                      <wps:txbx>
                        <w:txbxContent>
                          <w:p w14:paraId="098A0B45" w14:textId="77777777" w:rsidR="001F3F8E" w:rsidRPr="001F3F8E" w:rsidRDefault="001F3F8E" w:rsidP="001F3F8E">
                            <w:pPr>
                              <w:rPr>
                                <w:b/>
                                <w:bCs/>
                              </w:rPr>
                            </w:pPr>
                            <w:r w:rsidRPr="001F3F8E">
                              <w:rPr>
                                <w:b/>
                                <w:bCs/>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67599" id="_x0000_s1028" type="#_x0000_t202" style="position:absolute;left:0;text-align:left;margin-left:160.35pt;margin-top:225.4pt;width:211.55pt;height:34.15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" filled="f" stroked="f">
                <v:textbox>
                  <w:txbxContent>
                    <w:p w14:paraId="098A0B45" w14:textId="77777777" w:rsidR="001F3F8E" w:rsidRPr="001F3F8E" w:rsidRDefault="001F3F8E" w:rsidP="001F3F8E">
                      <w:pPr>
                        <w:rPr>
                          <w:b/>
                          <w:bCs/>
                        </w:rPr>
                      </w:pPr>
                      <w:r w:rsidRPr="001F3F8E">
                        <w:rPr>
                          <w:b/>
                          <w:bCs/>
                        </w:rPr>
                        <w:t>Composante de Tendance</w:t>
                      </w:r>
                    </w:p>
                  </w:txbxContent>
                </v:textbox>
                <w10:wrap type="tight" anchorx="margin"/>
              </v:shape>
            </w:pict>
          </mc:Fallback>
        </mc:AlternateContent>
      </w:r>
      <w:r w:rsidR="00122703">
        <w:rPr>
          <w:noProof/>
        </w:rPr>
        <mc:AlternateContent>
          <mc:Choice Requires="wps">
            <w:drawing>
              <wp:anchor distT="0" distB="0" distL="114300" distR="114300" simplePos="0" relativeHeight="251674624" behindDoc="0" locked="0" layoutInCell="1" allowOverlap="1" wp14:anchorId="2914A1BE" wp14:editId="325F7339">
                <wp:simplePos x="0" y="0"/>
                <wp:positionH relativeFrom="column">
                  <wp:posOffset>4355292</wp:posOffset>
                </wp:positionH>
                <wp:positionV relativeFrom="paragraph">
                  <wp:posOffset>3150187</wp:posOffset>
                </wp:positionV>
                <wp:extent cx="755834" cy="920115"/>
                <wp:effectExtent l="0" t="0" r="25400" b="13335"/>
                <wp:wrapNone/>
                <wp:docPr id="13" name="Rectangle 13"/>
                <wp:cNvGraphicFramePr/>
                <a:graphic xmlns:a="http://schemas.openxmlformats.org/drawingml/2006/main">
                  <a:graphicData uri="http://schemas.microsoft.com/office/word/2010/wordprocessingShape">
                    <wps:wsp>
                      <wps:cNvSpPr/>
                      <wps:spPr>
                        <a:xfrm>
                          <a:off x="0" y="0"/>
                          <a:ext cx="755834" cy="920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CCAFC" w14:textId="0C17F7CA" w:rsidR="001F3F8E" w:rsidRPr="00122703" w:rsidRDefault="001F3F8E" w:rsidP="00122703">
                            <w:pPr>
                              <w:rPr>
                                <w:sz w:val="20"/>
                                <w:szCs w:val="20"/>
                                <w:lang w:val="fr-FR"/>
                              </w:rPr>
                            </w:pPr>
                            <w:r w:rsidRPr="00122703">
                              <w:rPr>
                                <w:sz w:val="20"/>
                                <w:szCs w:val="20"/>
                                <w:highlight w:val="black"/>
                                <w:lang w:val="fr-FR"/>
                              </w:rPr>
                              <w:t>Validation</w:t>
                            </w:r>
                          </w:p>
                          <w:p w14:paraId="67875EAB" w14:textId="77777777" w:rsidR="001F3F8E" w:rsidRPr="00122703" w:rsidRDefault="001F3F8E" w:rsidP="001F3F8E">
                            <w:pPr>
                              <w:jc w:val="center"/>
                              <w:rPr>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4A1BE" id="Rectangle 13" o:spid="_x0000_s1029" style="position:absolute;left:0;text-align:left;margin-left:342.95pt;margin-top:248.05pt;width:59.5pt;height:7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" filled="f" strokecolor="black [3213]" strokeweight="1pt">
                <v:textbox>
                  <w:txbxContent>
                    <w:p w14:paraId="031CCAFC" w14:textId="0C17F7CA" w:rsidR="001F3F8E" w:rsidRPr="00122703" w:rsidRDefault="001F3F8E" w:rsidP="00122703">
                      <w:pPr>
                        <w:rPr>
                          <w:sz w:val="20"/>
                          <w:szCs w:val="20"/>
                          <w:lang w:val="fr-FR"/>
                        </w:rPr>
                      </w:pPr>
                      <w:r w:rsidRPr="00122703">
                        <w:rPr>
                          <w:sz w:val="20"/>
                          <w:szCs w:val="20"/>
                          <w:highlight w:val="black"/>
                          <w:lang w:val="fr-FR"/>
                        </w:rPr>
                        <w:t>Validation</w:t>
                      </w:r>
                    </w:p>
                    <w:p w14:paraId="67875EAB" w14:textId="77777777" w:rsidR="001F3F8E" w:rsidRPr="00122703" w:rsidRDefault="001F3F8E" w:rsidP="001F3F8E">
                      <w:pPr>
                        <w:jc w:val="center"/>
                        <w:rPr>
                          <w:sz w:val="20"/>
                          <w:szCs w:val="20"/>
                          <w:lang w:val="fr-FR"/>
                        </w:rPr>
                      </w:pPr>
                    </w:p>
                  </w:txbxContent>
                </v:textbox>
              </v:rect>
            </w:pict>
          </mc:Fallback>
        </mc:AlternateContent>
      </w:r>
      <w:r w:rsidR="00122703">
        <w:rPr>
          <w:noProof/>
        </w:rPr>
        <mc:AlternateContent>
          <mc:Choice Requires="wps">
            <w:drawing>
              <wp:anchor distT="0" distB="0" distL="114300" distR="114300" simplePos="0" relativeHeight="251671552" behindDoc="0" locked="0" layoutInCell="1" allowOverlap="1" wp14:anchorId="70D6C9DD" wp14:editId="2E5ADF95">
                <wp:simplePos x="0" y="0"/>
                <wp:positionH relativeFrom="column">
                  <wp:posOffset>2369489</wp:posOffset>
                </wp:positionH>
                <wp:positionV relativeFrom="paragraph">
                  <wp:posOffset>3152692</wp:posOffset>
                </wp:positionV>
                <wp:extent cx="1983850" cy="935355"/>
                <wp:effectExtent l="0" t="0" r="16510" b="17145"/>
                <wp:wrapNone/>
                <wp:docPr id="11" name="Rectangle 11"/>
                <wp:cNvGraphicFramePr/>
                <a:graphic xmlns:a="http://schemas.openxmlformats.org/drawingml/2006/main">
                  <a:graphicData uri="http://schemas.microsoft.com/office/word/2010/wordprocessingShape">
                    <wps:wsp>
                      <wps:cNvSpPr/>
                      <wps:spPr>
                        <a:xfrm>
                          <a:off x="0" y="0"/>
                          <a:ext cx="1983850" cy="935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559CA" w14:textId="6A015E64" w:rsidR="001F3F8E" w:rsidRDefault="001F3F8E" w:rsidP="001F3F8E">
                            <w:pPr>
                              <w:jc w:val="center"/>
                              <w:rPr>
                                <w:sz w:val="24"/>
                                <w:szCs w:val="24"/>
                                <w:lang w:val="fr-FR"/>
                              </w:rPr>
                            </w:pPr>
                            <w:r w:rsidRPr="001F3F8E">
                              <w:rPr>
                                <w:sz w:val="24"/>
                                <w:szCs w:val="24"/>
                                <w:highlight w:val="black"/>
                                <w:lang w:val="fr-FR"/>
                              </w:rPr>
                              <w:t>Training</w:t>
                            </w:r>
                          </w:p>
                          <w:p w14:paraId="5B9E35EB" w14:textId="77777777" w:rsidR="001F3F8E" w:rsidRPr="001F3F8E" w:rsidRDefault="001F3F8E" w:rsidP="001F3F8E">
                            <w:pPr>
                              <w:jc w:val="center"/>
                              <w:rPr>
                                <w:sz w:val="24"/>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6C9DD" id="Rectangle 11" o:spid="_x0000_s1030" style="position:absolute;left:0;text-align:left;margin-left:186.55pt;margin-top:248.25pt;width:156.2pt;height:7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" filled="f" strokecolor="black [3213]" strokeweight="1pt">
                <v:textbox>
                  <w:txbxContent>
                    <w:p w14:paraId="6EF559CA" w14:textId="6A015E64" w:rsidR="001F3F8E" w:rsidRDefault="001F3F8E" w:rsidP="001F3F8E">
                      <w:pPr>
                        <w:jc w:val="center"/>
                        <w:rPr>
                          <w:sz w:val="24"/>
                          <w:szCs w:val="24"/>
                          <w:lang w:val="fr-FR"/>
                        </w:rPr>
                      </w:pPr>
                      <w:r w:rsidRPr="001F3F8E">
                        <w:rPr>
                          <w:sz w:val="24"/>
                          <w:szCs w:val="24"/>
                          <w:highlight w:val="black"/>
                          <w:lang w:val="fr-FR"/>
                        </w:rPr>
                        <w:t>Training</w:t>
                      </w:r>
                    </w:p>
                    <w:p w14:paraId="5B9E35EB" w14:textId="77777777" w:rsidR="001F3F8E" w:rsidRPr="001F3F8E" w:rsidRDefault="001F3F8E" w:rsidP="001F3F8E">
                      <w:pPr>
                        <w:jc w:val="center"/>
                        <w:rPr>
                          <w:sz w:val="24"/>
                          <w:szCs w:val="24"/>
                          <w:lang w:val="fr-FR"/>
                        </w:rPr>
                      </w:pPr>
                    </w:p>
                  </w:txbxContent>
                </v:textbox>
              </v:rect>
            </w:pict>
          </mc:Fallback>
        </mc:AlternateContent>
      </w:r>
      <w:r w:rsidR="00F67FAD">
        <w:rPr>
          <w:noProof/>
          <w:lang w:val="fr-FR"/>
        </w:rPr>
        <w:t>fin de semaine</w:t>
      </w:r>
      <w:r w:rsidR="002943F2">
        <w:rPr>
          <w:noProof/>
          <w:lang w:val="fr-FR"/>
        </w:rPr>
        <w:t xml:space="preserve"> (</w:t>
      </w:r>
      <w:r w:rsidR="002943F2" w:rsidRPr="002943F2">
        <w:rPr>
          <w:b/>
          <w:bCs/>
          <w:noProof/>
          <w:highlight w:val="yellow"/>
          <w:lang w:val="fr-FR"/>
        </w:rPr>
        <w:t>Figure XX</w:t>
      </w:r>
      <w:r w:rsidR="002943F2">
        <w:rPr>
          <w:noProof/>
          <w:lang w:val="fr-FR"/>
        </w:rPr>
        <w:t>)</w:t>
      </w:r>
      <w:r w:rsidR="00F67FAD">
        <w:rPr>
          <w:noProof/>
          <w:lang w:val="fr-FR"/>
        </w:rPr>
        <w:t xml:space="preserve"> sur la demande d’electricite</w:t>
      </w:r>
      <w:r w:rsidR="00F37372">
        <w:rPr>
          <w:noProof/>
          <w:lang w:val="fr-FR"/>
        </w:rPr>
        <w:t>,</w:t>
      </w:r>
      <w:r w:rsidR="00F67FAD" w:rsidRPr="00F67FAD">
        <w:rPr>
          <w:noProof/>
          <w:lang w:val="fr-FR"/>
        </w:rPr>
        <w:t xml:space="preserve"> </w:t>
      </w:r>
      <w:r w:rsidR="002943F2">
        <w:rPr>
          <w:noProof/>
          <w:lang w:val="fr-FR"/>
        </w:rPr>
        <w:t xml:space="preserve">avec une moindre demande lors des jours feries et fin de </w:t>
      </w:r>
      <w:r w:rsidR="001F3F8E">
        <w:rPr>
          <w:noProof/>
        </w:rPr>
        <w:drawing>
          <wp:anchor distT="0" distB="0" distL="114300" distR="114300" simplePos="0" relativeHeight="251673600" behindDoc="1" locked="0" layoutInCell="1" allowOverlap="1" wp14:anchorId="2F4E10C5" wp14:editId="2B3914A5">
            <wp:simplePos x="0" y="0"/>
            <wp:positionH relativeFrom="column">
              <wp:posOffset>2395855</wp:posOffset>
            </wp:positionH>
            <wp:positionV relativeFrom="paragraph">
              <wp:posOffset>4085590</wp:posOffset>
            </wp:positionV>
            <wp:extent cx="3448685" cy="352425"/>
            <wp:effectExtent l="0" t="0" r="0" b="9525"/>
            <wp:wrapTight wrapText="bothSides">
              <wp:wrapPolygon edited="0">
                <wp:start x="0" y="0"/>
                <wp:lineTo x="0" y="21016"/>
                <wp:lineTo x="21477" y="21016"/>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685" cy="352425"/>
                    </a:xfrm>
                    <a:prstGeom prst="rect">
                      <a:avLst/>
                    </a:prstGeom>
                  </pic:spPr>
                </pic:pic>
              </a:graphicData>
            </a:graphic>
            <wp14:sizeRelH relativeFrom="margin">
              <wp14:pctWidth>0</wp14:pctWidth>
            </wp14:sizeRelH>
            <wp14:sizeRelV relativeFrom="margin">
              <wp14:pctHeight>0</wp14:pctHeight>
            </wp14:sizeRelV>
          </wp:anchor>
        </w:drawing>
      </w:r>
      <w:r w:rsidR="002943F2">
        <w:rPr>
          <w:noProof/>
          <w:lang w:val="fr-FR"/>
        </w:rPr>
        <w:t>semaine.</w:t>
      </w:r>
      <w:r w:rsidR="00F37372">
        <w:rPr>
          <w:noProof/>
          <w:lang w:val="fr-FR"/>
        </w:rPr>
        <w:t xml:space="preserve"> Enfin, la separation des ensemble d’entraînement, de validation, et de test se fait selon le crit</w:t>
      </w:r>
      <w:r w:rsidR="00122703">
        <w:rPr>
          <w:noProof/>
          <w:lang w:val="fr-FR"/>
        </w:rPr>
        <w:t>è</w:t>
      </w:r>
      <w:r w:rsidR="00F37372">
        <w:rPr>
          <w:noProof/>
          <w:lang w:val="fr-FR"/>
        </w:rPr>
        <w:t>re de cohérence dans la dynamique de marché de la période</w:t>
      </w:r>
      <w:r w:rsidR="00F37372" w:rsidRPr="00F37372">
        <w:rPr>
          <w:noProof/>
          <w:lang w:val="fr-FR"/>
        </w:rPr>
        <w:t>.</w:t>
      </w:r>
      <w:r w:rsidR="00F37372">
        <w:rPr>
          <w:noProof/>
          <w:lang w:val="fr-FR"/>
        </w:rPr>
        <w:t xml:space="preserve"> </w:t>
      </w:r>
      <w:r w:rsidR="001F3F8E">
        <w:rPr>
          <w:noProof/>
          <w:lang w:val="fr-FR"/>
        </w:rPr>
        <w:t xml:space="preserve">Suivant la tendance de la décomposition </w:t>
      </w:r>
      <w:r w:rsidR="001F3F8E" w:rsidRPr="001F3F8E">
        <w:rPr>
          <w:i/>
          <w:iCs/>
          <w:noProof/>
          <w:lang w:val="fr-FR"/>
        </w:rPr>
        <w:t>st</w:t>
      </w:r>
      <w:r w:rsidR="00122703">
        <w:rPr>
          <w:i/>
          <w:iCs/>
          <w:noProof/>
          <w:lang w:val="fr-FR"/>
        </w:rPr>
        <w:t>l</w:t>
      </w:r>
      <w:r w:rsidR="00122703" w:rsidRPr="00122703">
        <w:rPr>
          <w:i/>
          <w:iCs/>
          <w:noProof/>
          <w:lang w:val="fr-FR"/>
        </w:rPr>
        <w:t xml:space="preserve">, </w:t>
      </w:r>
      <w:r w:rsidR="00122703" w:rsidRPr="00122703">
        <w:rPr>
          <w:noProof/>
          <w:lang w:val="fr-FR"/>
        </w:rPr>
        <w:t>nous</w:t>
      </w:r>
      <w:r w:rsidR="00122703">
        <w:rPr>
          <w:rFonts w:ascii="Calibri" w:hAnsi="Calibri" w:cs="Calibri"/>
          <w:color w:val="000000"/>
          <w:sz w:val="22"/>
          <w:szCs w:val="22"/>
          <w:shd w:val="clear" w:color="auto" w:fill="FFFFFF"/>
          <w:lang w:val="fr-FR"/>
        </w:rPr>
        <w:t xml:space="preserve"> </w:t>
      </w:r>
      <w:r w:rsidR="00122703" w:rsidRPr="00122703">
        <w:rPr>
          <w:color w:val="000000"/>
          <w:shd w:val="clear" w:color="auto" w:fill="FFFFFF"/>
          <w:lang w:val="fr-FR"/>
        </w:rPr>
        <w:t>obse</w:t>
      </w:r>
      <w:r w:rsidR="00122703">
        <w:rPr>
          <w:color w:val="000000"/>
          <w:shd w:val="clear" w:color="auto" w:fill="FFFFFF"/>
          <w:lang w:val="fr-FR"/>
        </w:rPr>
        <w:t>rvons que la période d’entraînement va de 2012 à 2017. Les périodes de validation et de test vont respectivement de 2018 à fin 2019, et de 2019 à fin 2021</w:t>
      </w:r>
      <w:r w:rsidR="00122703" w:rsidRPr="00122703">
        <w:rPr>
          <w:color w:val="000000"/>
          <w:shd w:val="clear" w:color="auto" w:fill="FFFFFF"/>
          <w:lang w:val="fr-FR"/>
        </w:rPr>
        <w:t>.</w:t>
      </w:r>
      <w:r w:rsidR="00122703">
        <w:rPr>
          <w:color w:val="000000"/>
          <w:shd w:val="clear" w:color="auto" w:fill="FFFFFF"/>
          <w:lang w:val="fr-FR"/>
        </w:rPr>
        <w:t xml:space="preserve"> </w:t>
      </w:r>
      <w:r w:rsidR="00F67FAD" w:rsidRPr="00F67FAD">
        <w:rPr>
          <w:rFonts w:ascii="Calibri" w:hAnsi="Calibri" w:cs="Calibri"/>
          <w:color w:val="000000"/>
          <w:sz w:val="22"/>
          <w:szCs w:val="22"/>
          <w:shd w:val="clear" w:color="auto" w:fill="FFFFFF"/>
          <w:lang w:val="fr-FR"/>
        </w:rPr>
        <w:br/>
      </w:r>
    </w:p>
    <w:p w14:paraId="46F24784" w14:textId="2A1A8200" w:rsidR="00A02E2A" w:rsidRPr="00A02E2A" w:rsidRDefault="00A02E2A" w:rsidP="0099600D">
      <w:pPr>
        <w:pStyle w:val="paragraph"/>
        <w:spacing w:before="0" w:beforeAutospacing="0" w:after="0" w:afterAutospacing="0" w:line="480" w:lineRule="auto"/>
        <w:ind w:right="4"/>
        <w:jc w:val="both"/>
        <w:textAlignment w:val="baseline"/>
        <w:rPr>
          <w:rStyle w:val="eop"/>
          <w:lang w:val="fr-FR"/>
        </w:rPr>
      </w:pPr>
    </w:p>
    <w:p w14:paraId="5F58D3F6" w14:textId="79B371AE" w:rsidR="000A774F" w:rsidRDefault="00217DE2" w:rsidP="00CC3AB3">
      <w:pPr>
        <w:pStyle w:val="paragraph"/>
        <w:spacing w:before="0" w:beforeAutospacing="0" w:after="0" w:afterAutospacing="0" w:line="480" w:lineRule="auto"/>
        <w:ind w:left="-709" w:right="-705"/>
        <w:jc w:val="both"/>
        <w:textAlignment w:val="baseline"/>
        <w:rPr>
          <w:rStyle w:val="eop"/>
          <w:color w:val="0070C0"/>
          <w:lang w:val="fr-FR"/>
        </w:rPr>
      </w:pPr>
      <w:r>
        <w:rPr>
          <w:rStyle w:val="eop"/>
          <w:lang w:val="fr-FR"/>
        </w:rPr>
        <w:t xml:space="preserve"> </w:t>
      </w:r>
      <w:r w:rsidR="00FB76B7" w:rsidRPr="00FB76B7">
        <w:rPr>
          <w:rStyle w:val="eop"/>
          <w:color w:val="0070C0"/>
          <w:lang w:val="fr-FR"/>
        </w:rPr>
        <w:t> </w:t>
      </w:r>
    </w:p>
    <w:p w14:paraId="6478553B" w14:textId="2C4CCDB9"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4F660E7F" w14:textId="71529519"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53AC7798" w14:textId="1A74E01B"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32C6161E" w14:textId="701F46A2" w:rsidR="00674BFA" w:rsidRPr="00674BFA" w:rsidRDefault="00674BFA" w:rsidP="00795342">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sectPr w:rsidR="00674BFA" w:rsidRPr="00674BFA" w:rsidSect="0099600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4749" w14:textId="77777777" w:rsidR="00BB5C2D" w:rsidRDefault="00BB5C2D" w:rsidP="00BB2B84">
      <w:pPr>
        <w:spacing w:after="0" w:line="240" w:lineRule="auto"/>
      </w:pPr>
      <w:r>
        <w:separator/>
      </w:r>
    </w:p>
  </w:endnote>
  <w:endnote w:type="continuationSeparator" w:id="0">
    <w:p w14:paraId="4461A64F" w14:textId="77777777" w:rsidR="00BB5C2D" w:rsidRDefault="00BB5C2D" w:rsidP="00BB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C995" w14:textId="77777777" w:rsidR="00BB5C2D" w:rsidRDefault="00BB5C2D" w:rsidP="00BB2B84">
      <w:pPr>
        <w:spacing w:after="0" w:line="240" w:lineRule="auto"/>
      </w:pPr>
      <w:r>
        <w:separator/>
      </w:r>
    </w:p>
  </w:footnote>
  <w:footnote w:type="continuationSeparator" w:id="0">
    <w:p w14:paraId="28F2E6BB" w14:textId="77777777" w:rsidR="00BB5C2D" w:rsidRDefault="00BB5C2D" w:rsidP="00BB2B84">
      <w:pPr>
        <w:spacing w:after="0" w:line="240" w:lineRule="auto"/>
      </w:pPr>
      <w:r>
        <w:continuationSeparator/>
      </w:r>
    </w:p>
  </w:footnote>
  <w:footnote w:id="1">
    <w:p w14:paraId="66EFD6E6" w14:textId="1A1414B7" w:rsidR="008E3771" w:rsidRDefault="008E3771">
      <w:pPr>
        <w:pStyle w:val="FootnoteText"/>
      </w:pPr>
      <w:r>
        <w:rPr>
          <w:rStyle w:val="FootnoteReference"/>
        </w:rPr>
        <w:footnoteRef/>
      </w:r>
      <w:r>
        <w:t xml:space="preserve"> </w:t>
      </w:r>
      <w:hyperlink r:id="rId1" w:history="1">
        <w:r>
          <w:rPr>
            <w:rStyle w:val="Hyperlink"/>
          </w:rPr>
          <w:t>Company Profile (ercot.com)</w:t>
        </w:r>
      </w:hyperlink>
    </w:p>
  </w:footnote>
  <w:footnote w:id="2">
    <w:p w14:paraId="29D4926A" w14:textId="6F4CC812" w:rsidR="008E3771" w:rsidRDefault="008E3771">
      <w:pPr>
        <w:pStyle w:val="FootnoteText"/>
      </w:pPr>
      <w:r>
        <w:rPr>
          <w:rStyle w:val="FootnoteReference"/>
        </w:rPr>
        <w:footnoteRef/>
      </w:r>
      <w:r>
        <w:t xml:space="preserve"> </w:t>
      </w:r>
      <w:hyperlink r:id="rId2" w:history="1">
        <w:r w:rsidRPr="0066762B">
          <w:rPr>
            <w:rStyle w:val="Hyperlink"/>
          </w:rPr>
          <w:t>https://en.wikipedia.org/wiki/Electric_Reliability_Council_of_Texas</w:t>
        </w:r>
      </w:hyperlink>
      <w:r>
        <w:t xml:space="preserve"> </w:t>
      </w:r>
    </w:p>
    <w:p w14:paraId="6FA458CA" w14:textId="77777777" w:rsidR="008E3771" w:rsidRDefault="008E3771">
      <w:pPr>
        <w:pStyle w:val="FootnoteText"/>
      </w:pPr>
    </w:p>
  </w:footnote>
  <w:footnote w:id="3">
    <w:p w14:paraId="0B7C30D8" w14:textId="41F2D77E" w:rsidR="008E3771" w:rsidRDefault="008E3771">
      <w:pPr>
        <w:pStyle w:val="FootnoteText"/>
      </w:pPr>
      <w:r>
        <w:rPr>
          <w:rStyle w:val="FootnoteReference"/>
        </w:rPr>
        <w:footnoteRef/>
      </w:r>
      <w:r>
        <w:t xml:space="preserve"> </w:t>
      </w:r>
      <w:hyperlink r:id="rId3" w:history="1">
        <w:r w:rsidRPr="0066762B">
          <w:rPr>
            <w:rStyle w:val="Hyperlink"/>
          </w:rPr>
          <w:t>https://en.wikipedia.org/wiki/Electric_Reliability_Council_of_Texas</w:t>
        </w:r>
      </w:hyperlink>
      <w:r>
        <w:t xml:space="preserve"> </w:t>
      </w:r>
    </w:p>
  </w:footnote>
  <w:footnote w:id="4">
    <w:p w14:paraId="187F9F85" w14:textId="2736CF7B" w:rsidR="00F9625C" w:rsidRDefault="00F9625C">
      <w:pPr>
        <w:pStyle w:val="FootnoteText"/>
      </w:pPr>
      <w:r>
        <w:rPr>
          <w:rStyle w:val="FootnoteReference"/>
        </w:rPr>
        <w:footnoteRef/>
      </w:r>
      <w:r>
        <w:t xml:space="preserve"> </w:t>
      </w:r>
      <w:hyperlink r:id="rId4" w:history="1">
        <w:r w:rsidRPr="0066762B">
          <w:rPr>
            <w:rStyle w:val="Hyperlink"/>
          </w:rPr>
          <w:t>https://en.wikipedia.org/wiki/Electric_Reliability_Council_of_Texas</w:t>
        </w:r>
      </w:hyperlink>
    </w:p>
  </w:footnote>
  <w:footnote w:id="5">
    <w:p w14:paraId="48E1D9B1" w14:textId="37341CEA" w:rsidR="00F9625C" w:rsidRDefault="00F9625C">
      <w:pPr>
        <w:pStyle w:val="FootnoteText"/>
      </w:pPr>
      <w:r>
        <w:rPr>
          <w:rStyle w:val="FootnoteReference"/>
        </w:rPr>
        <w:footnoteRef/>
      </w:r>
      <w:r>
        <w:t xml:space="preserve"> </w:t>
      </w:r>
      <w:hyperlink r:id="rId5" w:history="1">
        <w:r w:rsidRPr="00F9625C">
          <w:rPr>
            <w:rStyle w:val="Hyperlink"/>
          </w:rPr>
          <w:t>https://worldpopulationreview.com/us-counties/states/tx</w:t>
        </w:r>
      </w:hyperlink>
    </w:p>
  </w:footnote>
  <w:footnote w:id="6">
    <w:p w14:paraId="498E7DE4" w14:textId="1EFB6869" w:rsidR="00F9625C" w:rsidRDefault="00F9625C">
      <w:pPr>
        <w:pStyle w:val="FootnoteText"/>
      </w:pPr>
      <w:r>
        <w:rPr>
          <w:rStyle w:val="FootnoteReference"/>
        </w:rPr>
        <w:footnoteRef/>
      </w:r>
      <w:r>
        <w:t xml:space="preserve"> </w:t>
      </w:r>
      <w:hyperlink r:id="rId6" w:anchor="reqid=70&amp;step=1&amp;isuri=1&amp;acrdn=5" w:history="1">
        <w:r w:rsidRPr="00F9625C">
          <w:rPr>
            <w:rStyle w:val="Hyperlink"/>
          </w:rPr>
          <w:t>https://apps.bea.gov/iTable/iTable.cfm?reqid=70&amp;step=1&amp;isuri=1&amp;acrdn=5#reqid=70&amp;step=1&amp;isuri=1&amp;acrdn=5</w:t>
        </w:r>
      </w:hyperlink>
    </w:p>
  </w:footnote>
  <w:footnote w:id="7">
    <w:p w14:paraId="1C74056D" w14:textId="0C8F2EEA" w:rsidR="00F9625C" w:rsidRPr="00F9625C" w:rsidRDefault="00F9625C">
      <w:pPr>
        <w:pStyle w:val="FootnoteText"/>
      </w:pPr>
      <w:r>
        <w:rPr>
          <w:rStyle w:val="FootnoteReference"/>
        </w:rPr>
        <w:footnoteRef/>
      </w:r>
      <w:r>
        <w:t xml:space="preserve"> </w:t>
      </w:r>
      <w:hyperlink r:id="rId7" w:history="1">
        <w:r w:rsidRPr="00F9625C">
          <w:rPr>
            <w:rStyle w:val="Hyperlink"/>
          </w:rPr>
          <w:t>https://www.texas-demographics.com/counties_by_population</w:t>
        </w:r>
      </w:hyperlink>
    </w:p>
  </w:footnote>
  <w:footnote w:id="8">
    <w:p w14:paraId="4878F77A" w14:textId="0536F557" w:rsidR="005D5145" w:rsidRDefault="005D5145">
      <w:pPr>
        <w:pStyle w:val="FootnoteText"/>
      </w:pPr>
      <w:r>
        <w:rPr>
          <w:rStyle w:val="FootnoteReference"/>
        </w:rPr>
        <w:footnoteRef/>
      </w:r>
      <w:r>
        <w:t xml:space="preserve"> </w:t>
      </w:r>
      <w:hyperlink r:id="rId8" w:history="1">
        <w:r w:rsidRPr="0066762B">
          <w:rPr>
            <w:rStyle w:val="Hyperlink"/>
          </w:rPr>
          <w:t>https://comptroller.texas.gov/economy/economic-data/regions/2020/texas.php</w:t>
        </w:r>
      </w:hyperlink>
      <w:r>
        <w:t xml:space="preserve"> </w:t>
      </w:r>
    </w:p>
  </w:footnote>
  <w:footnote w:id="9">
    <w:p w14:paraId="08038226" w14:textId="28AB170B" w:rsidR="005D5145" w:rsidRDefault="005D5145">
      <w:pPr>
        <w:pStyle w:val="FootnoteText"/>
      </w:pPr>
      <w:r>
        <w:rPr>
          <w:rStyle w:val="FootnoteReference"/>
        </w:rPr>
        <w:footnoteRef/>
      </w:r>
      <w:r>
        <w:t xml:space="preserve"> </w:t>
      </w:r>
      <w:hyperlink r:id="rId9" w:anchor=":~:text=In%20the%20Dallas%20area%2C%20the,slightly%20below%20the%20national%20average" w:history="1">
        <w:r w:rsidRPr="005D5145">
          <w:rPr>
            <w:rStyle w:val="Hyperlink"/>
          </w:rPr>
          <w:t>https://realestate.usnews.com/places/texas/dallas-fort-worth/jobs#:~:text=In%20the%20Dallas%20area%2C%20the,slightly%20below%20the%20national%20average</w:t>
        </w:r>
      </w:hyperlink>
    </w:p>
  </w:footnote>
  <w:footnote w:id="10">
    <w:p w14:paraId="657091B2" w14:textId="6336197C" w:rsidR="005D5145" w:rsidRDefault="005D5145">
      <w:pPr>
        <w:pStyle w:val="FootnoteText"/>
      </w:pPr>
      <w:r>
        <w:rPr>
          <w:rStyle w:val="FootnoteReference"/>
        </w:rPr>
        <w:footnoteRef/>
      </w:r>
      <w:r>
        <w:t xml:space="preserve"> </w:t>
      </w:r>
      <w:hyperlink r:id="rId10" w:history="1">
        <w:r w:rsidRPr="005D5145">
          <w:rPr>
            <w:rStyle w:val="Hyperlink"/>
          </w:rPr>
          <w:t>https://www.texas-demographics.com/counties_by_population</w:t>
        </w:r>
      </w:hyperlink>
    </w:p>
  </w:footnote>
  <w:footnote w:id="11">
    <w:p w14:paraId="0B188354" w14:textId="3B3F51D1" w:rsidR="005D5145" w:rsidRDefault="005D5145">
      <w:pPr>
        <w:pStyle w:val="FootnoteText"/>
      </w:pPr>
      <w:r>
        <w:rPr>
          <w:rStyle w:val="FootnoteReference"/>
        </w:rPr>
        <w:footnoteRef/>
      </w:r>
      <w:r>
        <w:t xml:space="preserve"> </w:t>
      </w:r>
      <w:hyperlink r:id="rId11" w:history="1">
        <w:r w:rsidRPr="0066762B">
          <w:rPr>
            <w:rStyle w:val="Hyperlink"/>
          </w:rPr>
          <w:t>https://apps.bea.gov/iTable/iTable.cfm?reqid=70&amp;step=1&amp;isuri=1&amp;acrdn=5#reqid=70&amp;step=1&amp;isuri=1&amp;acrdn=5</w:t>
        </w:r>
      </w:hyperlink>
      <w:r>
        <w:t xml:space="preserve"> </w:t>
      </w:r>
    </w:p>
  </w:footnote>
  <w:footnote w:id="12">
    <w:p w14:paraId="1A4EDE06" w14:textId="15C2A261" w:rsidR="005D5145" w:rsidRDefault="005D5145">
      <w:pPr>
        <w:pStyle w:val="FootnoteText"/>
      </w:pPr>
      <w:r>
        <w:rPr>
          <w:rStyle w:val="FootnoteReference"/>
        </w:rPr>
        <w:footnoteRef/>
      </w:r>
      <w:r>
        <w:t xml:space="preserve"> </w:t>
      </w:r>
      <w:hyperlink r:id="rId12" w:history="1">
        <w:r w:rsidRPr="0066762B">
          <w:rPr>
            <w:rStyle w:val="Hyperlink"/>
          </w:rPr>
          <w:t>https://comptroller.texas.gov/economy/economic-data/regions/2020/texas.php</w:t>
        </w:r>
      </w:hyperlink>
      <w:r>
        <w:t xml:space="preserve"> </w:t>
      </w:r>
    </w:p>
  </w:footnote>
  <w:footnote w:id="13">
    <w:p w14:paraId="04270268" w14:textId="30482F11" w:rsidR="00730B9E" w:rsidRDefault="00730B9E">
      <w:pPr>
        <w:pStyle w:val="FootnoteText"/>
      </w:pPr>
      <w:r>
        <w:rPr>
          <w:rStyle w:val="FootnoteReference"/>
        </w:rPr>
        <w:footnoteRef/>
      </w:r>
      <w:r>
        <w:t xml:space="preserve"> </w:t>
      </w:r>
      <w:hyperlink r:id="rId13" w:history="1">
        <w:r w:rsidRPr="0066762B">
          <w:rPr>
            <w:rStyle w:val="Hyperlink"/>
          </w:rPr>
          <w:t>https://militarybases.com/texas/</w:t>
        </w:r>
      </w:hyperlink>
      <w:r>
        <w:t xml:space="preserve"> </w:t>
      </w:r>
    </w:p>
  </w:footnote>
  <w:footnote w:id="14">
    <w:p w14:paraId="0D5F8A76" w14:textId="7C847AA9" w:rsidR="005D5145" w:rsidRDefault="005D5145">
      <w:pPr>
        <w:pStyle w:val="FootnoteText"/>
      </w:pPr>
      <w:r>
        <w:rPr>
          <w:rStyle w:val="FootnoteReference"/>
        </w:rPr>
        <w:footnoteRef/>
      </w:r>
      <w:r>
        <w:t xml:space="preserve"> </w:t>
      </w:r>
      <w:hyperlink r:id="rId14" w:history="1">
        <w:r w:rsidRPr="0066762B">
          <w:rPr>
            <w:rStyle w:val="Hyperlink"/>
          </w:rPr>
          <w:t>https://www.eia.gov/state/analysis.php?sid=TX</w:t>
        </w:r>
      </w:hyperlink>
      <w:r>
        <w:t xml:space="preserve"> </w:t>
      </w:r>
    </w:p>
  </w:footnote>
  <w:footnote w:id="15">
    <w:p w14:paraId="2A3EAA76" w14:textId="11C80199" w:rsidR="00DF0CD4" w:rsidRDefault="00DF0CD4">
      <w:pPr>
        <w:pStyle w:val="FootnoteText"/>
      </w:pPr>
      <w:r>
        <w:rPr>
          <w:rStyle w:val="FootnoteReference"/>
        </w:rPr>
        <w:footnoteRef/>
      </w:r>
      <w:r>
        <w:t xml:space="preserve"> </w:t>
      </w:r>
      <w:hyperlink r:id="rId15" w:history="1">
        <w:r w:rsidRPr="0066762B">
          <w:rPr>
            <w:rStyle w:val="Hyperlink"/>
          </w:rPr>
          <w:t>https://www.eia.gov/state/analysis.php?sid=TX</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01AAD"/>
    <w:rsid w:val="00093CA5"/>
    <w:rsid w:val="000A774F"/>
    <w:rsid w:val="000F56E8"/>
    <w:rsid w:val="00122703"/>
    <w:rsid w:val="00196970"/>
    <w:rsid w:val="001F3F8E"/>
    <w:rsid w:val="001F5EC5"/>
    <w:rsid w:val="00217DE2"/>
    <w:rsid w:val="00230B4F"/>
    <w:rsid w:val="0027266E"/>
    <w:rsid w:val="002943F2"/>
    <w:rsid w:val="002A3982"/>
    <w:rsid w:val="002B108C"/>
    <w:rsid w:val="002C6A0B"/>
    <w:rsid w:val="003D5A19"/>
    <w:rsid w:val="00410B1E"/>
    <w:rsid w:val="00427DA9"/>
    <w:rsid w:val="00437D55"/>
    <w:rsid w:val="00443A2D"/>
    <w:rsid w:val="00445568"/>
    <w:rsid w:val="004A2C62"/>
    <w:rsid w:val="004C63AF"/>
    <w:rsid w:val="004F0FF0"/>
    <w:rsid w:val="005B295B"/>
    <w:rsid w:val="005C1515"/>
    <w:rsid w:val="005D5145"/>
    <w:rsid w:val="005E42D6"/>
    <w:rsid w:val="00674BFA"/>
    <w:rsid w:val="00682B02"/>
    <w:rsid w:val="00683C9E"/>
    <w:rsid w:val="006D23C7"/>
    <w:rsid w:val="00712FFD"/>
    <w:rsid w:val="00730B9E"/>
    <w:rsid w:val="00733DF1"/>
    <w:rsid w:val="00735CD5"/>
    <w:rsid w:val="00754E53"/>
    <w:rsid w:val="00776D23"/>
    <w:rsid w:val="00787BE7"/>
    <w:rsid w:val="00795342"/>
    <w:rsid w:val="007C11B1"/>
    <w:rsid w:val="007D693E"/>
    <w:rsid w:val="0087675F"/>
    <w:rsid w:val="008E3771"/>
    <w:rsid w:val="009135CC"/>
    <w:rsid w:val="0095004C"/>
    <w:rsid w:val="0099600D"/>
    <w:rsid w:val="009B7513"/>
    <w:rsid w:val="009D01D9"/>
    <w:rsid w:val="009D79B7"/>
    <w:rsid w:val="00A02E2A"/>
    <w:rsid w:val="00A11F94"/>
    <w:rsid w:val="00A20FE1"/>
    <w:rsid w:val="00A5231A"/>
    <w:rsid w:val="00A82E42"/>
    <w:rsid w:val="00B425C9"/>
    <w:rsid w:val="00B62E46"/>
    <w:rsid w:val="00B82F6C"/>
    <w:rsid w:val="00BB2B84"/>
    <w:rsid w:val="00BB5C2D"/>
    <w:rsid w:val="00BD275A"/>
    <w:rsid w:val="00BF65A5"/>
    <w:rsid w:val="00C110EA"/>
    <w:rsid w:val="00C30A9A"/>
    <w:rsid w:val="00C47EDC"/>
    <w:rsid w:val="00C64895"/>
    <w:rsid w:val="00C64936"/>
    <w:rsid w:val="00CC3AB3"/>
    <w:rsid w:val="00CD1EDC"/>
    <w:rsid w:val="00D16BEF"/>
    <w:rsid w:val="00D7612A"/>
    <w:rsid w:val="00D81C1C"/>
    <w:rsid w:val="00D96E59"/>
    <w:rsid w:val="00DF0CD4"/>
    <w:rsid w:val="00DF6543"/>
    <w:rsid w:val="00E26DB0"/>
    <w:rsid w:val="00E45390"/>
    <w:rsid w:val="00E84FF3"/>
    <w:rsid w:val="00F30771"/>
    <w:rsid w:val="00F37372"/>
    <w:rsid w:val="00F65439"/>
    <w:rsid w:val="00F67FAD"/>
    <w:rsid w:val="00F9625C"/>
    <w:rsid w:val="00FB76B7"/>
    <w:rsid w:val="00FC6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 w:type="paragraph" w:styleId="Header">
    <w:name w:val="header"/>
    <w:basedOn w:val="Normal"/>
    <w:link w:val="HeaderChar"/>
    <w:uiPriority w:val="99"/>
    <w:unhideWhenUsed/>
    <w:rsid w:val="00BB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4"/>
  </w:style>
  <w:style w:type="paragraph" w:styleId="Footer">
    <w:name w:val="footer"/>
    <w:basedOn w:val="Normal"/>
    <w:link w:val="FooterChar"/>
    <w:uiPriority w:val="99"/>
    <w:unhideWhenUsed/>
    <w:rsid w:val="00BB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4"/>
  </w:style>
  <w:style w:type="paragraph" w:styleId="FootnoteText">
    <w:name w:val="footnote text"/>
    <w:basedOn w:val="Normal"/>
    <w:link w:val="FootnoteTextChar"/>
    <w:uiPriority w:val="99"/>
    <w:semiHidden/>
    <w:unhideWhenUsed/>
    <w:rsid w:val="008E37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771"/>
    <w:rPr>
      <w:sz w:val="20"/>
      <w:szCs w:val="20"/>
    </w:rPr>
  </w:style>
  <w:style w:type="character" w:styleId="FootnoteReference">
    <w:name w:val="footnote reference"/>
    <w:basedOn w:val="DefaultParagraphFont"/>
    <w:uiPriority w:val="99"/>
    <w:semiHidden/>
    <w:unhideWhenUsed/>
    <w:rsid w:val="008E3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comptroller.texas.gov/economy/economic-data/regions/2020/texas.php" TargetMode="External"/><Relationship Id="rId13" Type="http://schemas.openxmlformats.org/officeDocument/2006/relationships/hyperlink" Target="https://militarybases.com/texas/" TargetMode="External"/><Relationship Id="rId3" Type="http://schemas.openxmlformats.org/officeDocument/2006/relationships/hyperlink" Target="https://en.wikipedia.org/wiki/Electric_Reliability_Council_of_Texas" TargetMode="External"/><Relationship Id="rId7" Type="http://schemas.openxmlformats.org/officeDocument/2006/relationships/hyperlink" Target="https://www.texas-demographics.com/counties_by_population" TargetMode="External"/><Relationship Id="rId12" Type="http://schemas.openxmlformats.org/officeDocument/2006/relationships/hyperlink" Target="https://comptroller.texas.gov/economy/economic-data/regions/2020/texas.php" TargetMode="External"/><Relationship Id="rId2" Type="http://schemas.openxmlformats.org/officeDocument/2006/relationships/hyperlink" Target="https://en.wikipedia.org/wiki/Electric_Reliability_Council_of_Texas" TargetMode="External"/><Relationship Id="rId1" Type="http://schemas.openxmlformats.org/officeDocument/2006/relationships/hyperlink" Target="https://www.ercot.com/about/profile" TargetMode="External"/><Relationship Id="rId6" Type="http://schemas.openxmlformats.org/officeDocument/2006/relationships/hyperlink" Target="https://apps.bea.gov/iTable/iTable.cfm?reqid=70&amp;step=1&amp;isuri=1&amp;acrdn=5" TargetMode="External"/><Relationship Id="rId11" Type="http://schemas.openxmlformats.org/officeDocument/2006/relationships/hyperlink" Target="https://apps.bea.gov/iTable/iTable.cfm?reqid=70&amp;step=1&amp;isuri=1&amp;acrdn=5#reqid=70&amp;step=1&amp;isuri=1&amp;acrdn=5" TargetMode="External"/><Relationship Id="rId5" Type="http://schemas.openxmlformats.org/officeDocument/2006/relationships/hyperlink" Target="https://worldpopulationreview.com/us-counties/states/tx" TargetMode="External"/><Relationship Id="rId15" Type="http://schemas.openxmlformats.org/officeDocument/2006/relationships/hyperlink" Target="https://www.eia.gov/state/analysis.php?sid=TX" TargetMode="External"/><Relationship Id="rId10" Type="http://schemas.openxmlformats.org/officeDocument/2006/relationships/hyperlink" Target="https://www.texas-demographics.com/counties_by_population" TargetMode="External"/><Relationship Id="rId4" Type="http://schemas.openxmlformats.org/officeDocument/2006/relationships/hyperlink" Target="https://en.wikipedia.org/wiki/Electric_Reliability_Council_of_Texas" TargetMode="External"/><Relationship Id="rId9" Type="http://schemas.openxmlformats.org/officeDocument/2006/relationships/hyperlink" Target="https://realestate.usnews.com/places/texas/dallas-fort-worth/jobs" TargetMode="External"/><Relationship Id="rId14" Type="http://schemas.openxmlformats.org/officeDocument/2006/relationships/hyperlink" Target="https://www.eia.gov/state/analysis.php?sid=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2891</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18</cp:revision>
  <dcterms:created xsi:type="dcterms:W3CDTF">2022-02-04T03:42:00Z</dcterms:created>
  <dcterms:modified xsi:type="dcterms:W3CDTF">2022-02-10T03:42:00Z</dcterms:modified>
</cp:coreProperties>
</file>