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B57"/>
          <w:sz w:val="40"/>
          <w:szCs w:val="40"/>
        </w:rPr>
        <w:t xml:space="preserve">Business Intelligence Overview Report</w:t>
      </w:r>
    </w:p>
    <w:p>
      <w:pPr>
        <w:spacing w:after="100"/>
        <w:jc w:val="center"/>
      </w:pPr>
      <w:r>
        <w:rPr>
          <w:i/>
          <w:iCs/>
          <w:color w:val="555555"/>
          <w:sz w:val="24"/>
          <w:szCs w:val="24"/>
        </w:rPr>
        <w:t xml:space="preserve">National Retail Company — Executive Sales &amp; Profitability Dashboard</w:t>
      </w:r>
    </w:p>
    <w:p>
      <w:pPr>
        <w:spacing w:after="400"/>
        <w:jc w:val="center"/>
      </w:pPr>
      <w:r>
        <w:rPr>
          <w:color w:val="888888"/>
          <w:sz w:val="20"/>
          <w:szCs w:val="20"/>
        </w:rPr>
        <w:t xml:space="preserve">Prepared by: AnalystLab Africa — Data Analytics Internship Programme, Week 2</w:t>
      </w:r>
    </w:p>
    <w:p>
      <w:pPr>
        <w:pStyle w:val="Heading1"/>
        <w:spacing w:after="150" w:before="300"/>
      </w:pPr>
      <w:r>
        <w:t xml:space="preserve">1. What is Business Intelligence?</w:t>
      </w:r>
    </w:p>
    <w:p>
      <w:pPr>
        <w:spacing w:after="150"/>
        <w:jc w:val="both"/>
      </w:pPr>
      <w:r>
        <w:rPr>
          <w:sz w:val="22"/>
          <w:szCs w:val="22"/>
        </w:rPr>
        <w:t xml:space="preserve">Business Intelligence (BI) is the set of processes, technologies, and tools that transform raw operational data into structured, actionable information. It combines data collection, data warehousing, analytical querying, and visualization to help organizations understand what has happened, why it happened, and what is likely to happen next. Rather than relying on static, backward-looking reports, modern BI platforms such as Microsoft Power BI allow decision-makers to explore data interactively, drilling into regions, products, or time periods in real time.</w:t>
      </w:r>
    </w:p>
    <w:p>
      <w:pPr>
        <w:pStyle w:val="Heading1"/>
        <w:spacing w:after="150" w:before="300"/>
      </w:pPr>
      <w:r>
        <w:t xml:space="preserve">2. Why Organisations Use Dashboards</w:t>
      </w:r>
    </w:p>
    <w:p>
      <w:pPr>
        <w:spacing w:after="150"/>
        <w:jc w:val="both"/>
      </w:pPr>
      <w:r>
        <w:rPr>
          <w:sz w:val="22"/>
          <w:szCs w:val="22"/>
        </w:rPr>
        <w:t xml:space="preserve">Dashboards consolidate multiple data sources and key performance indicators (KPIs) into a single visual interface. Organisations adopt them because they:</w:t>
      </w:r>
    </w:p>
    <w:p>
      <w:pPr>
        <w:pStyle w:val="ListParagraph"/>
        <w:numPr>
          <w:ilvl w:val="0"/>
          <w:numId w:val="1"/>
        </w:numPr>
        <w:spacing w:after="80"/>
      </w:pPr>
      <w:r>
        <w:t xml:space="preserve">Reduce the time between data generation and decision-making, replacing manual spreadsheet reporting with real-time or near real-time views.</w:t>
      </w:r>
    </w:p>
    <w:p>
      <w:pPr>
        <w:pStyle w:val="ListParagraph"/>
        <w:numPr>
          <w:ilvl w:val="0"/>
          <w:numId w:val="1"/>
        </w:numPr>
        <w:spacing w:after="80"/>
      </w:pPr>
      <w:r>
        <w:t xml:space="preserve">Make performance transparent across departments, regions, and product lines, supporting accountability.</w:t>
      </w:r>
    </w:p>
    <w:p>
      <w:pPr>
        <w:pStyle w:val="ListParagraph"/>
        <w:numPr>
          <w:ilvl w:val="0"/>
          <w:numId w:val="1"/>
        </w:numPr>
        <w:spacing w:after="80"/>
      </w:pPr>
      <w:r>
        <w:t xml:space="preserve">Surface exceptions and anomalies (e.g. a region underperforming on profit despite strong sales) that would be hidden inside raw transaction tables.</w:t>
      </w:r>
    </w:p>
    <w:p>
      <w:pPr>
        <w:pStyle w:val="ListParagraph"/>
        <w:numPr>
          <w:ilvl w:val="0"/>
          <w:numId w:val="1"/>
        </w:numPr>
        <w:spacing w:after="80"/>
      </w:pPr>
      <w:r>
        <w:t xml:space="preserve">Enable self-service analysis, so managers can answer their own questions without waiting on ad hoc reports from analysts.</w:t>
      </w:r>
    </w:p>
    <w:p>
      <w:pPr>
        <w:pStyle w:val="Heading1"/>
        <w:spacing w:after="150" w:before="300"/>
      </w:pPr>
      <w:r>
        <w:t xml:space="preserve">3. How Dashboards Improve Decision-Making</w:t>
      </w:r>
    </w:p>
    <w:p>
      <w:pPr>
        <w:spacing w:after="150"/>
        <w:jc w:val="both"/>
      </w:pPr>
      <w:r>
        <w:rPr>
          <w:sz w:val="22"/>
          <w:szCs w:val="22"/>
        </w:rPr>
        <w:t xml:space="preserve">A well-designed executive dashboard shortens the path from data to action. Instead of reading hundreds of thousands of transaction rows, leadership can view aggregated KPI cards (Total Sales, Total Profit, Total Orders, Average Sale, Profit Margin) at a glance, then use slicers and filters to isolate the segment, region, or time period behind a result. This supports faster, evidence-based decisions on pricing, discounting, inventory allocation, and regional investment — and it replaces intuition-driven choices with quantified trade-offs, such as the relationship between discount levels and profit erosion observed in this dataset.</w:t>
      </w:r>
    </w:p>
    <w:p>
      <w:pPr>
        <w:pStyle w:val="Heading1"/>
        <w:spacing w:after="150" w:before="300"/>
      </w:pPr>
      <w:r>
        <w:t xml:space="preserve">4. Business Objective of the Selected Dataset</w:t>
      </w:r>
    </w:p>
    <w:p>
      <w:pPr>
        <w:spacing w:after="150"/>
        <w:jc w:val="both"/>
      </w:pPr>
      <w:r>
        <w:rPr>
          <w:sz w:val="22"/>
          <w:szCs w:val="22"/>
        </w:rPr>
        <w:t xml:space="preserve">This project uses the Superstore Sales Dataset (Option 1), containing 9,994 order line items from 2014 to 2017 across the Consumer, Corporate, and Home Office segments, spanning the Technology, Furniture, and Office Supplies categories in four US regions (West, East, Central, South).</w:t>
      </w:r>
    </w:p>
    <w:p>
      <w:pPr>
        <w:spacing w:after="150"/>
        <w:jc w:val="both"/>
      </w:pPr>
      <w:r>
        <w:rPr>
          <w:sz w:val="22"/>
          <w:szCs w:val="22"/>
        </w:rPr>
        <w:t xml:space="preserve">The business objective is to give senior management of the retail company a single interactive view to:</w:t>
      </w:r>
    </w:p>
    <w:p>
      <w:pPr>
        <w:pStyle w:val="ListParagraph"/>
        <w:numPr>
          <w:ilvl w:val="0"/>
          <w:numId w:val="1"/>
        </w:numPr>
        <w:spacing w:after="80"/>
      </w:pPr>
      <w:r>
        <w:t xml:space="preserve">Monitor overall sales and profitability performance over time.</w:t>
      </w:r>
    </w:p>
    <w:p>
      <w:pPr>
        <w:pStyle w:val="ListParagraph"/>
        <w:numPr>
          <w:ilvl w:val="0"/>
          <w:numId w:val="1"/>
        </w:numPr>
        <w:spacing w:after="80"/>
      </w:pPr>
      <w:r>
        <w:t xml:space="preserve">Identify which regions, segments, and categories drive (or drag down) profit.</w:t>
      </w:r>
    </w:p>
    <w:p>
      <w:pPr>
        <w:pStyle w:val="ListParagraph"/>
        <w:numPr>
          <w:ilvl w:val="0"/>
          <w:numId w:val="1"/>
        </w:numPr>
        <w:spacing w:after="80"/>
      </w:pPr>
      <w:r>
        <w:t xml:space="preserve">Detect underperforming products and sub-categories, particularly those affected by excessive discounting.</w:t>
      </w:r>
    </w:p>
    <w:p>
      <w:pPr>
        <w:pStyle w:val="ListParagraph"/>
        <w:numPr>
          <w:ilvl w:val="0"/>
          <w:numId w:val="1"/>
        </w:numPr>
        <w:spacing w:after="80"/>
      </w:pPr>
      <w:r>
        <w:t xml:space="preserve">Support data-driven decisions on regional investment, product mix, and discount policy.</w:t>
      </w:r>
    </w:p>
    <w:p>
      <w:pPr>
        <w:pStyle w:val="Heading1"/>
        <w:spacing w:after="150" w:before="300"/>
      </w:pPr>
      <w:r>
        <w:t xml:space="preserve">5. Key Findings Summary</w:t>
      </w:r>
    </w:p>
    <w:p>
      <w:pPr>
        <w:spacing w:after="150"/>
        <w:jc w:val="both"/>
      </w:pPr>
      <w:r>
        <w:rPr>
          <w:sz w:val="22"/>
          <w:szCs w:val="22"/>
        </w:rPr>
        <w:t xml:space="preserve">Total sales across the period reached $2,297,200.86 with a total profit of $286,397.02 (12.47% margin) across 5,009 orders. The West region leads in both sales and profit, while the Central region generates solid sales but the weakest margin. Technology is the most profitable category despite Furniture generating comparable revenue — a gap driven mainly by the Tables sub-category, which operates at a net loss ( -$17,725.48), correlated with a negative relationship between discount levels and profit ( r = -0.22). Sales are strongly seasonal, peaking every November-December and dipping every January-February.</w:t>
      </w:r>
    </w:p>
    <w:p>
      <w:pPr>
        <w:pStyle w:val="Heading1"/>
        <w:spacing w:after="150" w:before="300"/>
      </w:pPr>
      <w:r>
        <w:t xml:space="preserve">6. Conclusion</w:t>
      </w:r>
    </w:p>
    <w:p>
      <w:pPr>
        <w:spacing w:after="150"/>
        <w:jc w:val="both"/>
      </w:pPr>
      <w:r>
        <w:rPr>
          <w:sz w:val="22"/>
          <w:szCs w:val="22"/>
        </w:rPr>
        <w:t xml:space="preserve">Business Intelligence turns this transactional dataset into a strategic asset. The accompanying Power BI dashboard (see Dashboard Export and build guide) operationalises these findings into an interactive tool that management can use on an ongoing basis to track performance and adjust strategy — particularly around discount governance on loss-making sub-categories and reinforced investment in high-margin regions and product 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2026-08-13T23:38:35.662Z</dcterms:created>
  <dcterms:modified xsi:type="dcterms:W3CDTF">2026-08-13T23:38:35.675Z</dcterms:modified>
</cp:coreProperties>
</file>

<file path=docProps/custom.xml><?xml version="1.0" encoding="utf-8"?>
<Properties xmlns="http://schemas.openxmlformats.org/officeDocument/2006/custom-properties" xmlns:vt="http://schemas.openxmlformats.org/officeDocument/2006/docPropsVTypes"/>
</file>