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B57"/>
          <w:sz w:val="40"/>
          <w:szCs w:val="40"/>
        </w:rPr>
        <w:t xml:space="preserve">Executive Summary Report</w:t>
      </w:r>
    </w:p>
    <w:p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National Retail Company — Sales &amp; Profitability Analysis (2014–2017)</w:t>
      </w:r>
    </w:p>
    <w:p>
      <w:pPr>
        <w:pStyle w:val="Heading1"/>
        <w:spacing w:after="150" w:before="300"/>
      </w:pPr>
      <w:r>
        <w:t xml:space="preserve">Key Performance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1F3B57" w:color="auto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$2,297,201</w:t>
            </w:r>
          </w:p>
          <w:p>
            <w:pPr>
              <w:jc w:val="center"/>
            </w:pPr>
            <w:r>
              <w:rPr>
                <w:color w:val="D4A017"/>
                <w:sz w:val="18"/>
                <w:szCs w:val="18"/>
              </w:rPr>
              <w:t xml:space="preserve">Total Sales</w:t>
            </w:r>
          </w:p>
        </w:tc>
        <w:tc>
          <w:tcPr>
            <w:tcW w:type="pct" w:w="20%"/>
            <w:shd w:fill="1F3B57" w:color="auto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$286,397</w:t>
            </w:r>
          </w:p>
          <w:p>
            <w:pPr>
              <w:jc w:val="center"/>
            </w:pPr>
            <w:r>
              <w:rPr>
                <w:color w:val="D4A017"/>
                <w:sz w:val="18"/>
                <w:szCs w:val="18"/>
              </w:rPr>
              <w:t xml:space="preserve">Total Profit</w:t>
            </w:r>
          </w:p>
        </w:tc>
        <w:tc>
          <w:tcPr>
            <w:tcW w:type="pct" w:w="20%"/>
            <w:shd w:fill="1F3B57" w:color="auto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5,009</w:t>
            </w:r>
          </w:p>
          <w:p>
            <w:pPr>
              <w:jc w:val="center"/>
            </w:pPr>
            <w:r>
              <w:rPr>
                <w:color w:val="D4A017"/>
                <w:sz w:val="18"/>
                <w:szCs w:val="18"/>
              </w:rPr>
              <w:t xml:space="preserve">Total Orders</w:t>
            </w:r>
          </w:p>
        </w:tc>
        <w:tc>
          <w:tcPr>
            <w:tcW w:type="pct" w:w="20%"/>
            <w:shd w:fill="1F3B57" w:color="auto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$229.86</w:t>
            </w:r>
          </w:p>
          <w:p>
            <w:pPr>
              <w:jc w:val="center"/>
            </w:pPr>
            <w:r>
              <w:rPr>
                <w:color w:val="D4A017"/>
                <w:sz w:val="18"/>
                <w:szCs w:val="18"/>
              </w:rPr>
              <w:t xml:space="preserve">Avg. Sale</w:t>
            </w:r>
          </w:p>
        </w:tc>
        <w:tc>
          <w:tcPr>
            <w:tcW w:type="pct" w:w="20%"/>
            <w:shd w:fill="1F3B57" w:color="auto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12.5%</w:t>
            </w:r>
          </w:p>
          <w:p>
            <w:pPr>
              <w:jc w:val="center"/>
            </w:pPr>
            <w:r>
              <w:rPr>
                <w:color w:val="D4A017"/>
                <w:sz w:val="18"/>
                <w:szCs w:val="18"/>
              </w:rPr>
              <w:t xml:space="preserve">Profit Margin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Five Key Business Insights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Overall performance is improving: sales grew from $484K (2014) to $733K (2017), a 51% increase, with profit margin rising from ~10.2% to ~12.7% over the same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The West region is the strongest performer on both sales ($725,458) and profit ($108,418); the Central region has comparable sales volume ($501,240) but the weakest margin (~7.9%).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Technology is the most profitable category ($145,455 profit) despite Furniture generating similar revenue — Furniture's profit ($18,451) is dragged down almost entirely by the Tables sub-category.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Tables and Bookcases are structurally unprofitable (-$17,725 and -$3,473 respectively), and profit correlates negatively with discount level (r = -0.22) — heavier discounting is closely tied to lower profitability.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Sales are highly seasonal, peaking every November-December (e.g. $118,448 in Nov 2017) and dipping every January-February, which has implications for inventory and cash-flow planning.</w:t>
      </w:r>
    </w:p>
    <w:p>
      <w:pPr>
        <w:pStyle w:val="Heading1"/>
        <w:spacing w:after="150" w:before="300"/>
      </w:pPr>
      <w:r>
        <w:t xml:space="preserve">Three Business Risks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Revenue concentration risk: a large share of annual sales is compressed into the Nov-Dec period, exposing the business to disruption (supply chain, staffing) during the most critical weeks.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Margin erosion risk: continued discounting on Tables, Bookcases, and Supplies keeps these lines in a persistent loss position, quietly eroding overall company profitability.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Regional imbalance risk: the Central region generates meaningful revenue but the lowest margin, suggesting inefficiencies (cost-to-serve, excessive discounting) that could scale unfavourably if the region grows without correction.</w:t>
      </w:r>
    </w:p>
    <w:p>
      <w:pPr>
        <w:pStyle w:val="Heading1"/>
        <w:spacing w:after="150" w:before="300"/>
      </w:pPr>
      <w:r>
        <w:t xml:space="preserve">Three Business Opportunities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Discount governance: capping or restructuring discounts on loss-making sub-categories (Tables, Bookcases) could convert a meaningful share of the -$17,725 Tables loss into profit.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Technology and Office Supplies expansion: these categories combine strong revenue with strong margins and could be pushed further in the Central and South regions, which currently under-index versus West/East.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Home Office segment growth: the smallest of the three segments ($429,653 in sales) but profitable — a targeted push here diversifies revenue beyond the dominant Consumer segment (51% of sales).</w:t>
      </w:r>
    </w:p>
    <w:p>
      <w:pPr>
        <w:pStyle w:val="Heading1"/>
        <w:spacing w:after="150" w:before="300"/>
      </w:pPr>
      <w:r>
        <w:t xml:space="preserve">Five Business Recommendations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Cap or restructure discounts on Tables and Bookcases — evaluate supplier renegotiation or price repositioning rather than deep promotional discounting, directly targeting the -$17,725 Tables loss.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Reinforce inventory and marketing investment in Copiers, Phones, and Accessories, the strongest profit contributors, ahead of the Nov-Dec seasonal peak.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Investigate the Central region's cost-to-serve and discount practices to close the margin gap with West and East despite comparable sales volume.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Launch loyalty and cross-sell campaigns targeting the Consumer segment (already the largest profit contributor) to increase share-of-wallet toward Technology products.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Smooth demand with January-February promotions and pre-build inventory ahead of the November-December peak to reduce stockout and overstock risk.</w:t>
      </w:r>
    </w:p>
    <w:p>
      <w:pPr>
        <w:pStyle w:val="Heading1"/>
        <w:spacing w:after="150" w:before="300"/>
      </w:pPr>
      <w:r>
        <w:t xml:space="preserve">Conclusion</w:t>
      </w:r>
    </w:p>
    <w:p>
      <w:pPr>
        <w:spacing w:after="150"/>
        <w:jc w:val="both"/>
      </w:pPr>
      <w:r>
        <w:rPr>
          <w:sz w:val="22"/>
          <w:szCs w:val="22"/>
        </w:rPr>
        <w:t xml:space="preserve">The data shows a business with healthy overall growth (+51% in sales since 2014) but uneven profitability across regions and product lines. The single largest lever available to management is discount discipline on structurally unprofitable sub-categories, followed by doubling down on the regions and categories that already convert revenue into profit most efficiently.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2026-08-13T23:39:01.653Z</dcterms:created>
  <dcterms:modified xsi:type="dcterms:W3CDTF">2026-08-13T23:39:01.654Z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