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R: Después de desarrollar mi proyecto APT , enfocado en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acceso con reconocimiento facial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mis intereses no se han cambiado  ya que este proyecto me permite aplicar conocimientos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el desarrollo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 tecnológicas innovadoras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R: No afecto ya que los intereses profesionales desarrollados en mi proyecto APT son los mismos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R: Mis fortalezas cambiaron de manera que obtuve más experiencia ya que algunas tareas desarrolladas eran nuevas para mi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R: El plan para Seguir desarrollando mis fortalezas es trabajar en proyectos que me permitan adquirir más experiencia en el rubro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R: Para mejorar mis debilidades, especialmente en lo que respecta a la gestión de proyectos y el trabajo en equipo, mi plan es involucrarme más en proyectos colaborativos, donde pueda desarrollar habilidades de liderazgo y coordinación.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Después de completar mi proyecto APT, mis proyecciones laborales han tomado una dirección más enfocada y especializada. El proyecto me ha permitido explorar de manera más profunda las posibilidades que ofrece la seguridad informática y la inteligencia artificial, lo que ha generado un mayor interés en profundizar en estos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colaborando con equipos multidisciplinarios, contribuyendo a la innovación en productos tecnológicos y protegiendo datos e infraestructuras críticas contra amenazas cibernéticas. Mi objetivo es estar involucrado en la creación de soluciones que no sólo resuelvan problemas técnicos, sino que también aborden desafíos éticos y de privacidad en el uso de la tecnología. También, en 5 años, espero haber adquirido una sólida experiencia práctica y teórica, lo que me permitirá seguir aprendiendo y creciendo dentro de un entorno tecnológico dinámico.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3487.458243534482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Positivos: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Colaboración y aprendizaje mutuo: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El trabajo en grupo permitió compartir conocimientos y habilidades entre los miembros del equipo, lo que enriqueció la experiencia de aprendizaje.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Distribución de tareas: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El trabajo en grupo permitió dividir las tareas según las fortalezas de cada miembro, lo que facilitó la asignación de responsabilidades y permitió avanzar de manera más eficiente.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Negativos: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Diferencias en el ritmo de trabajo: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 veces, las diferencias en los tiempos y la forma de trabajar de los miembros del grupo generaron descoordinación.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Dificultad en la toma de decisiones grupales: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Cuando surgieron desacuerdos sobre la dirección del proyecto o las decisiones a tomar, se generaron momentos de conflicto.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Mejorar la comunicación y coordinación: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En proyectos futuros, uno de mis principales objetivos será mejorar la comunicación y coordinación con los miembros del equipo.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Gestión de expectativas y tareas: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Para evitar la sobrecarga de trabajo en algunos miembros del equipo, mejoraré mi habilidad para gestionar las expectativas y distribuir las tareas de manera más equitativa.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Mejorar la toma de decisiones grupales: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Para evitar los retrasos en la toma de decisiones, buscaré ser más eficiente al tomar decisiones grupales. Esto incluirá establecer un proceso claro para la toma de decisiones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AJ5uu8yGLxyKlDfIDlOJtQp7Q==">CgMxLjA4AHIhMVdqX1ZKdzd2d2JoS0c4N2dxelExODFIV1FSTW5QTGNX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2024-11-27T12:20:00Z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