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7xbrhulthbuy"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244061"/>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44061"/>
                                    <w:sz w:val="48"/>
                                    <w:vertAlign w:val="baseline"/>
                                  </w:rPr>
                                </w:r>
                                <w:r w:rsidDel="00000000" w:rsidR="00000000" w:rsidRPr="00000000">
                                  <w:rPr>
                                    <w:rFonts w:ascii="Calibri" w:cs="Calibri" w:eastAsia="Calibri" w:hAnsi="Calibri"/>
                                    <w:b w:val="1"/>
                                    <w:i w:val="0"/>
                                    <w:smallCaps w:val="0"/>
                                    <w:strike w:val="0"/>
                                    <w:color w:val="244061"/>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24406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wp:posOffset>
                </wp:positionH>
                <wp:positionV relativeFrom="paragraph">
                  <wp:posOffset>9525</wp:posOffset>
                </wp:positionV>
                <wp:extent cx="6238875" cy="1562100"/>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Durante esta fase se ha avanzado en el desarrollo del dashboard web y la app móvil para la gestión de visitas y asignación de tareas técnicas.</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Se completaron las siguientes actividades:</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Implementación básica del frontend del dashboard en React y del backend en </w:t>
            </w:r>
            <w:hyperlink r:id="rId8">
              <w:r w:rsidDel="00000000" w:rsidR="00000000" w:rsidRPr="00000000">
                <w:rPr>
                  <w:i w:val="1"/>
                  <w:color w:val="1155cc"/>
                  <w:sz w:val="20"/>
                  <w:szCs w:val="20"/>
                  <w:u w:val="single"/>
                  <w:rtl w:val="0"/>
                </w:rPr>
                <w:t xml:space="preserve">Node.js</w:t>
              </w:r>
            </w:hyperlink>
            <w:r w:rsidDel="00000000" w:rsidR="00000000" w:rsidRPr="00000000">
              <w:rPr>
                <w:i w:val="1"/>
                <w:color w:val="548dd4"/>
                <w:sz w:val="20"/>
                <w:szCs w:val="20"/>
                <w:rtl w:val="0"/>
              </w:rPr>
              <w:t xml:space="preserve">.</w:t>
            </w:r>
          </w:p>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Desarrollo inicial de la app móvil usando React Native.</w:t>
            </w:r>
          </w:p>
          <w:p w:rsidR="00000000" w:rsidDel="00000000" w:rsidP="00000000" w:rsidRDefault="00000000" w:rsidRPr="00000000" w14:paraId="0000001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Configuración y pruebas del entorno de base de datos en Firebase.</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4">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Como evidencia presentamos capturas de pantalla del dashboard mencionado, el modelo relacional del base de datos, y capturas de pantalla de la app mobile (aún no conectado a las apis, solo maqueta).</w:t>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Estas evidencias permiten visualizar el avance mencionado debido a que se demuestra lo realizado con éxito.</w:t>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Pr>
              <w:drawing>
                <wp:inline distB="114300" distT="114300" distL="114300" distR="114300">
                  <wp:extent cx="1324901" cy="2956897"/>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324901" cy="2956897"/>
                          </a:xfrm>
                          <a:prstGeom prst="rect"/>
                          <a:ln/>
                        </pic:spPr>
                      </pic:pic>
                    </a:graphicData>
                  </a:graphic>
                </wp:inline>
              </w:drawing>
            </w:r>
            <w:r w:rsidDel="00000000" w:rsidR="00000000" w:rsidRPr="00000000">
              <w:rPr>
                <w:i w:val="1"/>
                <w:color w:val="548dd4"/>
                <w:sz w:val="20"/>
                <w:szCs w:val="20"/>
              </w:rPr>
              <w:drawing>
                <wp:inline distB="114300" distT="114300" distL="114300" distR="114300">
                  <wp:extent cx="1326119" cy="2898141"/>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326119" cy="2898141"/>
                          </a:xfrm>
                          <a:prstGeom prst="rect"/>
                          <a:ln/>
                        </pic:spPr>
                      </pic:pic>
                    </a:graphicData>
                  </a:graphic>
                </wp:inline>
              </w:drawing>
            </w:r>
            <w:r w:rsidDel="00000000" w:rsidR="00000000" w:rsidRPr="00000000">
              <w:rPr>
                <w:i w:val="1"/>
                <w:color w:val="548dd4"/>
                <w:sz w:val="20"/>
                <w:szCs w:val="20"/>
              </w:rPr>
              <w:drawing>
                <wp:inline distB="114300" distT="114300" distL="114300" distR="114300">
                  <wp:extent cx="1322213" cy="2899013"/>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322213" cy="28990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i w:val="1"/>
                <w:color w:val="548dd4"/>
                <w:sz w:val="20"/>
                <w:szCs w:val="20"/>
              </w:rPr>
            </w:pPr>
            <w:r w:rsidDel="00000000" w:rsidR="00000000" w:rsidRPr="00000000">
              <w:rPr>
                <w:i w:val="1"/>
                <w:color w:val="548dd4"/>
                <w:sz w:val="20"/>
                <w:szCs w:val="20"/>
              </w:rPr>
              <w:drawing>
                <wp:inline distB="114300" distT="114300" distL="114300" distR="114300">
                  <wp:extent cx="5399730" cy="32766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99730" cy="3276600"/>
                          </a:xfrm>
                          <a:prstGeom prst="rect"/>
                          <a:ln/>
                        </pic:spPr>
                      </pic:pic>
                    </a:graphicData>
                  </a:graphic>
                </wp:inline>
              </w:drawing>
            </w:r>
            <w:r w:rsidDel="00000000" w:rsidR="00000000" w:rsidRPr="00000000">
              <w:rPr>
                <w:i w:val="1"/>
                <w:color w:val="548dd4"/>
                <w:sz w:val="20"/>
                <w:szCs w:val="20"/>
              </w:rPr>
              <w:drawing>
                <wp:inline distB="114300" distT="114300" distL="114300" distR="114300">
                  <wp:extent cx="5399730" cy="2717800"/>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399730" cy="2717800"/>
                          </a:xfrm>
                          <a:prstGeom prst="rect"/>
                          <a:ln/>
                        </pic:spPr>
                      </pic:pic>
                    </a:graphicData>
                  </a:graphic>
                </wp:inline>
              </w:drawing>
            </w:r>
            <w:r w:rsidDel="00000000" w:rsidR="00000000" w:rsidRPr="00000000">
              <w:rPr>
                <w:i w:val="1"/>
                <w:color w:val="548dd4"/>
                <w:sz w:val="20"/>
                <w:szCs w:val="20"/>
              </w:rPr>
              <w:drawing>
                <wp:inline distB="114300" distT="114300" distL="114300" distR="114300">
                  <wp:extent cx="5399730" cy="2717800"/>
                  <wp:effectExtent b="0" l="0" r="0" t="0"/>
                  <wp:docPr id="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399730" cy="2717800"/>
                          </a:xfrm>
                          <a:prstGeom prst="rect"/>
                          <a:ln/>
                        </pic:spPr>
                      </pic:pic>
                    </a:graphicData>
                  </a:graphic>
                </wp:inline>
              </w:drawing>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020" w:hRule="atLeast"/>
          <w:tblHeader w:val="0"/>
        </w:trPr>
        <w:tc>
          <w:tcPr/>
          <w:p w:rsidR="00000000" w:rsidDel="00000000" w:rsidP="00000000" w:rsidRDefault="00000000" w:rsidRPr="00000000" w14:paraId="0000002F">
            <w:pPr>
              <w:jc w:val="both"/>
              <w:rPr>
                <w:b w:val="1"/>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 Dashboard Web</w:t>
            </w:r>
            <w:r w:rsidDel="00000000" w:rsidR="00000000" w:rsidRPr="00000000">
              <w:rPr>
                <w:rtl w:val="0"/>
              </w:rPr>
            </w:r>
          </w:p>
        </w:tc>
        <w:tc>
          <w:tcPr/>
          <w:p w:rsidR="00000000" w:rsidDel="00000000" w:rsidP="00000000" w:rsidRDefault="00000000" w:rsidRPr="00000000" w14:paraId="00000031">
            <w:pPr>
              <w:jc w:val="both"/>
              <w:rPr>
                <w:b w:val="1"/>
                <w:sz w:val="18"/>
                <w:szCs w:val="18"/>
              </w:rPr>
            </w:pPr>
            <w:r w:rsidDel="00000000" w:rsidR="00000000" w:rsidRPr="00000000">
              <w:rPr>
                <w:i w:val="1"/>
                <w:color w:val="548dd4"/>
                <w:sz w:val="18"/>
                <w:szCs w:val="18"/>
                <w:rtl w:val="0"/>
              </w:rPr>
              <w:t xml:space="preserve">React, Node.js, Git</w:t>
            </w:r>
            <w:r w:rsidDel="00000000" w:rsidR="00000000" w:rsidRPr="00000000">
              <w:rPr>
                <w:rtl w:val="0"/>
              </w:rPr>
            </w:r>
          </w:p>
        </w:tc>
        <w:tc>
          <w:tcPr/>
          <w:p w:rsidR="00000000" w:rsidDel="00000000" w:rsidP="00000000" w:rsidRDefault="00000000" w:rsidRPr="00000000" w14:paraId="00000032">
            <w:pPr>
              <w:jc w:val="both"/>
              <w:rPr>
                <w:b w:val="1"/>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Isadora</w:t>
            </w:r>
            <w:r w:rsidDel="00000000" w:rsidR="00000000" w:rsidRPr="00000000">
              <w:rPr>
                <w:rtl w:val="0"/>
              </w:rPr>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100% completado</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Completado</w:t>
            </w:r>
            <w:r w:rsidDel="00000000" w:rsidR="00000000" w:rsidRPr="00000000">
              <w:rPr>
                <w:rtl w:val="0"/>
              </w:rPr>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sin ajustes</w:t>
            </w:r>
            <w:r w:rsidDel="00000000" w:rsidR="00000000" w:rsidRPr="00000000">
              <w:rPr>
                <w:rtl w:val="0"/>
              </w:rPr>
            </w:r>
          </w:p>
        </w:tc>
      </w:tr>
      <w:tr>
        <w:trPr>
          <w:cantSplit w:val="0"/>
          <w:trHeight w:val="1095" w:hRule="atLeast"/>
          <w:tblHeader w:val="0"/>
        </w:trPr>
        <w:tc>
          <w:tcPr/>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Desarrollo app mobile</w:t>
            </w:r>
          </w:p>
        </w:tc>
        <w:tc>
          <w:tcPr/>
          <w:p w:rsidR="00000000" w:rsidDel="00000000" w:rsidP="00000000" w:rsidRDefault="00000000" w:rsidRPr="00000000" w14:paraId="00000039">
            <w:pPr>
              <w:jc w:val="both"/>
              <w:rPr>
                <w:i w:val="1"/>
                <w:color w:val="548dd4"/>
                <w:sz w:val="18"/>
                <w:szCs w:val="18"/>
              </w:rPr>
            </w:pPr>
            <w:r w:rsidDel="00000000" w:rsidR="00000000" w:rsidRPr="00000000">
              <w:rPr>
                <w:i w:val="1"/>
                <w:color w:val="548dd4"/>
                <w:sz w:val="18"/>
                <w:szCs w:val="18"/>
                <w:rtl w:val="0"/>
              </w:rPr>
              <w:t xml:space="preserve">React native</w:t>
            </w:r>
          </w:p>
        </w:tc>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3 semanas</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Benjamin </w:t>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Sin contratiempos</w:t>
            </w:r>
          </w:p>
        </w:tc>
        <w:tc>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En curso</w:t>
            </w:r>
          </w:p>
        </w:tc>
        <w:tc>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Sin ajustes</w:t>
            </w:r>
          </w:p>
        </w:tc>
      </w:tr>
      <w:tr>
        <w:trPr>
          <w:cantSplit w:val="0"/>
          <w:trHeight w:val="1095" w:hRule="atLeast"/>
          <w:tblHeader w:val="0"/>
        </w:trPr>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Gestión de base de datos</w:t>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Configuración de BD</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PostgresSQL</w:t>
            </w:r>
          </w:p>
        </w:tc>
        <w:tc>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1 semana</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Ambos</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Estructura validada</w:t>
            </w:r>
          </w:p>
        </w:tc>
        <w:tc>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Completado</w:t>
            </w:r>
          </w:p>
        </w:tc>
        <w:tc>
          <w:tcPr/>
          <w:p w:rsidR="00000000" w:rsidDel="00000000" w:rsidP="00000000" w:rsidRDefault="00000000" w:rsidRPr="00000000" w14:paraId="00000046">
            <w:pPr>
              <w:jc w:val="both"/>
              <w:rPr>
                <w:i w:val="1"/>
                <w:color w:val="548dd4"/>
                <w:sz w:val="18"/>
                <w:szCs w:val="18"/>
              </w:rPr>
            </w:pPr>
            <w:r w:rsidDel="00000000" w:rsidR="00000000" w:rsidRPr="00000000">
              <w:rPr>
                <w:rtl w:val="0"/>
              </w:rPr>
            </w:r>
          </w:p>
        </w:tc>
      </w:tr>
      <w:tr>
        <w:trPr>
          <w:cantSplit w:val="0"/>
          <w:trHeight w:val="1095" w:hRule="atLeast"/>
          <w:tblHeader w:val="0"/>
        </w:trPr>
        <w:tc>
          <w:tcPr/>
          <w:p w:rsidR="00000000" w:rsidDel="00000000" w:rsidP="00000000" w:rsidRDefault="00000000" w:rsidRPr="00000000" w14:paraId="0000004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E">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4F">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3">
            <w:pPr>
              <w:jc w:val="both"/>
              <w:rPr>
                <w:color w:val="1f3864"/>
                <w:u w:val="single"/>
              </w:rPr>
            </w:pPr>
            <w:r w:rsidDel="00000000" w:rsidR="00000000" w:rsidRPr="00000000">
              <w:rPr>
                <w:color w:val="1f3864"/>
                <w:u w:val="single"/>
                <w:rtl w:val="0"/>
              </w:rPr>
              <w:t xml:space="preserve">Factores que han facilitado:</w:t>
            </w:r>
          </w:p>
          <w:p w:rsidR="00000000" w:rsidDel="00000000" w:rsidP="00000000" w:rsidRDefault="00000000" w:rsidRPr="00000000" w14:paraId="00000054">
            <w:pPr>
              <w:numPr>
                <w:ilvl w:val="0"/>
                <w:numId w:val="1"/>
              </w:numPr>
              <w:spacing w:after="0" w:afterAutospacing="0"/>
              <w:ind w:left="720" w:hanging="360"/>
              <w:jc w:val="both"/>
              <w:rPr>
                <w:color w:val="1f3864"/>
                <w:u w:val="none"/>
              </w:rPr>
            </w:pPr>
            <w:r w:rsidDel="00000000" w:rsidR="00000000" w:rsidRPr="00000000">
              <w:rPr>
                <w:color w:val="1f3864"/>
                <w:rtl w:val="0"/>
              </w:rPr>
              <w:t xml:space="preserve">Buena organización inicial del cronograma, lo que permitió distribuir las tareas de manera equilibrada y previsible.</w:t>
            </w:r>
          </w:p>
          <w:p w:rsidR="00000000" w:rsidDel="00000000" w:rsidP="00000000" w:rsidRDefault="00000000" w:rsidRPr="00000000" w14:paraId="00000055">
            <w:pPr>
              <w:numPr>
                <w:ilvl w:val="0"/>
                <w:numId w:val="1"/>
              </w:numPr>
              <w:spacing w:after="0" w:afterAutospacing="0"/>
              <w:ind w:left="720" w:hanging="360"/>
              <w:jc w:val="both"/>
              <w:rPr>
                <w:color w:val="1f3864"/>
                <w:u w:val="none"/>
              </w:rPr>
            </w:pPr>
            <w:r w:rsidDel="00000000" w:rsidR="00000000" w:rsidRPr="00000000">
              <w:rPr>
                <w:color w:val="1f3864"/>
                <w:rtl w:val="0"/>
              </w:rPr>
              <w:t xml:space="preserve">Comunicación efectiva entre los miembros del equipo, lo que facilitó la coordinación y la resolución rápida de dudas durante el desarrollo.</w:t>
            </w:r>
          </w:p>
          <w:p w:rsidR="00000000" w:rsidDel="00000000" w:rsidP="00000000" w:rsidRDefault="00000000" w:rsidRPr="00000000" w14:paraId="00000056">
            <w:pPr>
              <w:numPr>
                <w:ilvl w:val="0"/>
                <w:numId w:val="1"/>
              </w:numPr>
              <w:ind w:left="720" w:hanging="360"/>
              <w:jc w:val="both"/>
              <w:rPr>
                <w:color w:val="1f3864"/>
                <w:u w:val="none"/>
              </w:rPr>
            </w:pPr>
            <w:r w:rsidDel="00000000" w:rsidR="00000000" w:rsidRPr="00000000">
              <w:rPr>
                <w:color w:val="1f3864"/>
                <w:rtl w:val="0"/>
              </w:rPr>
              <w:t xml:space="preserve">Acceso fluido a los recursos técnicos y herramientas básicas necesarias para programar y probar los módulos principales del proyecto.</w:t>
            </w:r>
          </w:p>
          <w:p w:rsidR="00000000" w:rsidDel="00000000" w:rsidP="00000000" w:rsidRDefault="00000000" w:rsidRPr="00000000" w14:paraId="00000057">
            <w:pPr>
              <w:jc w:val="both"/>
              <w:rPr>
                <w:color w:val="1f3864"/>
              </w:rPr>
            </w:pPr>
            <w:r w:rsidDel="00000000" w:rsidR="00000000" w:rsidRPr="00000000">
              <w:rPr>
                <w:color w:val="1f3864"/>
                <w:u w:val="single"/>
                <w:rtl w:val="0"/>
              </w:rPr>
              <w:t xml:space="preserve">Factores que han dificultado</w:t>
            </w:r>
            <w:r w:rsidDel="00000000" w:rsidR="00000000" w:rsidRPr="00000000">
              <w:rPr>
                <w:color w:val="1f3864"/>
                <w:rtl w:val="0"/>
              </w:rPr>
              <w:t xml:space="preserve">:</w:t>
            </w:r>
          </w:p>
          <w:p w:rsidR="00000000" w:rsidDel="00000000" w:rsidP="00000000" w:rsidRDefault="00000000" w:rsidRPr="00000000" w14:paraId="00000058">
            <w:pPr>
              <w:jc w:val="both"/>
              <w:rPr>
                <w:color w:val="1f3864"/>
              </w:rPr>
            </w:pPr>
            <w:r w:rsidDel="00000000" w:rsidR="00000000" w:rsidRPr="00000000">
              <w:rPr>
                <w:color w:val="1f3864"/>
                <w:rtl w:val="0"/>
              </w:rPr>
              <w:t xml:space="preserve">La principal dificultad surgió al intentar configurar y utilizar una base de datos en la nube. El equipo no manejaba suficiente experiencia previa en plataformas cloud, y la curva de aprendizaje resultó ser mayor a lo previsto, retrasando esa parte del desarrollo.</w:t>
            </w:r>
          </w:p>
          <w:p w:rsidR="00000000" w:rsidDel="00000000" w:rsidP="00000000" w:rsidRDefault="00000000" w:rsidRPr="00000000" w14:paraId="00000059">
            <w:pPr>
              <w:jc w:val="both"/>
              <w:rPr>
                <w:color w:val="1f3864"/>
              </w:rPr>
            </w:pPr>
            <w:r w:rsidDel="00000000" w:rsidR="00000000" w:rsidRPr="00000000">
              <w:rPr>
                <w:color w:val="1f3864"/>
                <w:u w:val="single"/>
                <w:rtl w:val="0"/>
              </w:rPr>
              <w:t xml:space="preserve">Acciones tomadas para solucionar la dificultad</w:t>
            </w:r>
            <w:r w:rsidDel="00000000" w:rsidR="00000000" w:rsidRPr="00000000">
              <w:rPr>
                <w:color w:val="1f3864"/>
                <w:rtl w:val="0"/>
              </w:rPr>
              <w:t xml:space="preserve">:</w:t>
            </w:r>
          </w:p>
          <w:p w:rsidR="00000000" w:rsidDel="00000000" w:rsidP="00000000" w:rsidRDefault="00000000" w:rsidRPr="00000000" w14:paraId="0000005A">
            <w:pPr>
              <w:jc w:val="both"/>
              <w:rPr>
                <w:rFonts w:ascii="Calibri" w:cs="Calibri" w:eastAsia="Calibri" w:hAnsi="Calibri"/>
                <w:color w:val="1f3864"/>
              </w:rPr>
            </w:pPr>
            <w:r w:rsidDel="00000000" w:rsidR="00000000" w:rsidRPr="00000000">
              <w:rPr>
                <w:color w:val="1f3864"/>
                <w:rtl w:val="0"/>
              </w:rPr>
              <w:t xml:space="preserve">Se decidió reemplazar la base de datos cloud prevista por una solución local, más familiar para el equipo, lo que permitió continuar con el avance sin afectar el cumplimiento de los demás plazos y objetivos.</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60">
            <w:pPr>
              <w:jc w:val="both"/>
              <w:rPr>
                <w:i w:val="1"/>
                <w:color w:val="548dd4"/>
                <w:sz w:val="20"/>
                <w:szCs w:val="20"/>
              </w:rPr>
            </w:pPr>
            <w:r w:rsidDel="00000000" w:rsidR="00000000" w:rsidRPr="00000000">
              <w:rPr>
                <w:rtl w:val="0"/>
              </w:rPr>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Se ha eliminado la actividad de integración cloud, debido a la dificultad de este y la falta de conocimiento del equipo. Mientras lo iniciabamos, notamos que tomaría más tiempo de lo disponible, por lo que decidimos reemplazarlo por una funcionalidad con IA de optimización de rutas con Google maps</w:t>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B">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06C">
            <w:pPr>
              <w:jc w:val="both"/>
              <w:rPr>
                <w:i w:val="1"/>
                <w:color w:val="548dd4"/>
                <w:sz w:val="20"/>
                <w:szCs w:val="20"/>
              </w:rPr>
            </w:pPr>
            <w:r w:rsidDel="00000000" w:rsidR="00000000" w:rsidRPr="00000000">
              <w:rPr>
                <w:rtl w:val="0"/>
              </w:rPr>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Todas las actividades han sido iniciadas y van de acuerdo con la planificación.</w:t>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sectPr>
      <w:headerReference r:id="rId15" w:type="default"/>
      <w:foot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