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81D14" w14:textId="77777777" w:rsidR="00337D91" w:rsidRPr="00337D91" w:rsidRDefault="00337D91" w:rsidP="00337D91">
      <w:pPr>
        <w:keepNext/>
        <w:keepLines/>
        <w:spacing w:after="0" w:line="360" w:lineRule="auto"/>
        <w:jc w:val="both"/>
        <w:outlineLvl w:val="0"/>
        <w:rPr>
          <w:rFonts w:ascii="Times New Roman" w:eastAsia="Times New Roman" w:hAnsi="Times New Roman" w:cs="Times New Roman"/>
          <w:b/>
          <w:bCs/>
          <w:kern w:val="0"/>
          <w:lang w:val="en" w:eastAsia="en-GB"/>
          <w14:ligatures w14:val="none"/>
        </w:rPr>
      </w:pPr>
      <w:r w:rsidRPr="00337D91">
        <w:rPr>
          <w:rFonts w:ascii="Times New Roman" w:eastAsia="Times New Roman" w:hAnsi="Times New Roman" w:cs="Times New Roman"/>
          <w:b/>
          <w:bCs/>
          <w:kern w:val="0"/>
          <w:lang w:val="en" w:eastAsia="en-GB"/>
          <w14:ligatures w14:val="none"/>
        </w:rPr>
        <w:t>10. Supplementary Material</w:t>
      </w:r>
    </w:p>
    <w:p w14:paraId="66E092E2" w14:textId="77777777" w:rsidR="00337D91" w:rsidRPr="00337D91" w:rsidRDefault="00337D91" w:rsidP="00337D91">
      <w:pPr>
        <w:spacing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b/>
          <w:bCs/>
          <w:kern w:val="0"/>
          <w:sz w:val="20"/>
          <w:szCs w:val="20"/>
          <w:lang w:val="en" w:eastAsia="en-GB"/>
          <w14:ligatures w14:val="none"/>
        </w:rPr>
        <w:t>Supplementary Figure 1</w:t>
      </w:r>
      <w:sdt>
        <w:sdtPr>
          <w:rPr>
            <w:rFonts w:ascii="Arial" w:eastAsia="Arial" w:hAnsi="Arial" w:cs="Arial"/>
            <w:kern w:val="0"/>
            <w:sz w:val="22"/>
            <w:szCs w:val="22"/>
            <w:lang w:val="en" w:eastAsia="en-GB"/>
            <w14:ligatures w14:val="none"/>
          </w:rPr>
          <w:tag w:val="goog_rdk_0"/>
          <w:id w:val="1511814915"/>
        </w:sdtPr>
        <w:sdtContent>
          <w:r w:rsidRPr="00337D91">
            <w:rPr>
              <w:rFonts w:ascii="Cardo" w:eastAsia="Cardo" w:hAnsi="Cardo" w:cs="Cardo"/>
              <w:kern w:val="0"/>
              <w:sz w:val="20"/>
              <w:szCs w:val="20"/>
              <w:lang w:val="en" w:eastAsia="en-GB"/>
              <w14:ligatures w14:val="none"/>
            </w:rPr>
            <w:t>: (A) Proportion of RDU-MH relationships identified by direction of relationship tested. “RDU→MH” = “Is RDU followed by changes to MH?”, “MH→RDU” = “Is MH followed by changes to RDU”, “Both “= “Both directions”. (B) RDU-MH relationships by MH measure. Combined measures include metrics that capture both traits of depression and anxiety. Manuscripts conducting multiple separate analyses between RDU and a mental health dimension can be featured in multiple columns. (C) Proportion of RDU-MH relationships by country</w:t>
          </w:r>
        </w:sdtContent>
      </w:sdt>
      <w:r w:rsidRPr="00337D91">
        <w:rPr>
          <w:rFonts w:ascii="Times New Roman" w:eastAsia="Times New Roman" w:hAnsi="Times New Roman" w:cs="Times New Roman"/>
          <w:b/>
          <w:bCs/>
          <w:kern w:val="0"/>
          <w:sz w:val="20"/>
          <w:szCs w:val="20"/>
          <w:lang w:val="en" w:eastAsia="en-GB"/>
          <w14:ligatures w14:val="none"/>
        </w:rPr>
        <w:t>.</w:t>
      </w:r>
      <w:r w:rsidRPr="00337D91">
        <w:rPr>
          <w:rFonts w:ascii="Times New Roman" w:eastAsia="Times New Roman" w:hAnsi="Times New Roman" w:cs="Times New Roman"/>
          <w:kern w:val="0"/>
          <w:sz w:val="20"/>
          <w:szCs w:val="20"/>
          <w:lang w:val="en" w:eastAsia="en-GB"/>
          <w14:ligatures w14:val="none"/>
        </w:rPr>
        <w:t xml:space="preserve"> Only countries with five or more studies investigating these relationships are shown. (D) Number of relationships identified by decade of study publication. Note that the final stacked bar (2021-2023) captures a shorter time frame than all the other bars.</w:t>
      </w:r>
    </w:p>
    <w:p w14:paraId="506FC34A" w14:textId="77777777" w:rsidR="00337D91" w:rsidRPr="00337D91" w:rsidRDefault="00337D91" w:rsidP="00337D91">
      <w:pPr>
        <w:spacing w:line="360" w:lineRule="auto"/>
        <w:jc w:val="both"/>
        <w:rPr>
          <w:rFonts w:ascii="Times New Roman" w:eastAsia="Times New Roman" w:hAnsi="Times New Roman" w:cs="Times New Roman"/>
          <w:kern w:val="0"/>
          <w:sz w:val="20"/>
          <w:szCs w:val="20"/>
          <w:lang w:val="en" w:eastAsia="en-GB"/>
          <w14:ligatures w14:val="none"/>
        </w:rPr>
      </w:pPr>
    </w:p>
    <w:p w14:paraId="6AA3C9E4" w14:textId="77777777" w:rsidR="00337D91" w:rsidRPr="00337D91" w:rsidRDefault="00337D91" w:rsidP="00337D91">
      <w:pPr>
        <w:spacing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b/>
          <w:bCs/>
          <w:kern w:val="0"/>
          <w:sz w:val="20"/>
          <w:szCs w:val="20"/>
          <w:lang w:val="en" w:eastAsia="en-GB"/>
          <w14:ligatures w14:val="none"/>
        </w:rPr>
        <w:t>Supplementary Figure 2</w:t>
      </w:r>
      <w:r w:rsidRPr="00337D91">
        <w:rPr>
          <w:rFonts w:ascii="Times New Roman" w:eastAsia="Times New Roman" w:hAnsi="Times New Roman" w:cs="Times New Roman"/>
          <w:kern w:val="0"/>
          <w:sz w:val="20"/>
          <w:szCs w:val="20"/>
          <w:lang w:val="en" w:eastAsia="en-GB"/>
          <w14:ligatures w14:val="none"/>
        </w:rPr>
        <w:t xml:space="preserve">: (A) Proportion of RDU-MH relationships identified by decade published. Only decades with more than six included studies are shown. (B) Proportion of relationships identified by both </w:t>
      </w:r>
      <w:proofErr w:type="gramStart"/>
      <w:r w:rsidRPr="00337D91">
        <w:rPr>
          <w:rFonts w:ascii="Times New Roman" w:eastAsia="Times New Roman" w:hAnsi="Times New Roman" w:cs="Times New Roman"/>
          <w:kern w:val="0"/>
          <w:sz w:val="20"/>
          <w:szCs w:val="20"/>
          <w:lang w:val="en" w:eastAsia="en-GB"/>
          <w14:ligatures w14:val="none"/>
        </w:rPr>
        <w:t>decade</w:t>
      </w:r>
      <w:proofErr w:type="gramEnd"/>
      <w:r w:rsidRPr="00337D91">
        <w:rPr>
          <w:rFonts w:ascii="Times New Roman" w:eastAsia="Times New Roman" w:hAnsi="Times New Roman" w:cs="Times New Roman"/>
          <w:kern w:val="0"/>
          <w:sz w:val="20"/>
          <w:szCs w:val="20"/>
          <w:lang w:val="en" w:eastAsia="en-GB"/>
          <w14:ligatures w14:val="none"/>
        </w:rPr>
        <w:t xml:space="preserve"> published, and direction tested. (C) Proportion of relationships identified by both country of origin and direction tested. (D) Proportion of relationships identified by both direction tested and MH measure</w:t>
      </w:r>
      <w:r w:rsidRPr="00337D91">
        <w:rPr>
          <w:rFonts w:ascii="Times New Roman" w:eastAsia="Times New Roman" w:hAnsi="Times New Roman" w:cs="Times New Roman"/>
          <w:kern w:val="0"/>
          <w:sz w:val="22"/>
          <w:szCs w:val="22"/>
          <w:lang w:val="en" w:eastAsia="en-GB"/>
          <w14:ligatures w14:val="none"/>
        </w:rPr>
        <w:t xml:space="preserve">. </w:t>
      </w:r>
      <w:sdt>
        <w:sdtPr>
          <w:rPr>
            <w:rFonts w:ascii="Arial" w:eastAsia="Arial" w:hAnsi="Arial" w:cs="Arial"/>
            <w:kern w:val="0"/>
            <w:sz w:val="22"/>
            <w:szCs w:val="22"/>
            <w:lang w:val="en" w:eastAsia="en-GB"/>
            <w14:ligatures w14:val="none"/>
          </w:rPr>
          <w:tag w:val="goog_rdk_1"/>
          <w:id w:val="-1040932483"/>
        </w:sdtPr>
        <w:sdtContent>
          <w:r w:rsidRPr="00337D91">
            <w:rPr>
              <w:rFonts w:ascii="Cardo" w:eastAsia="Cardo" w:hAnsi="Cardo" w:cs="Cardo"/>
              <w:kern w:val="0"/>
              <w:sz w:val="20"/>
              <w:szCs w:val="20"/>
              <w:lang w:val="en" w:eastAsia="en-GB"/>
              <w14:ligatures w14:val="none"/>
            </w:rPr>
            <w:t>(E) Relationships identified by both individual drug and direction of relationship tested. “RDU→MH” = “Is RDU followed by changes to MH?”, “MH→RDU” = “Is MH followed by changes to RDU”, “Both “= “Both directions”.</w:t>
          </w:r>
        </w:sdtContent>
      </w:sdt>
    </w:p>
    <w:p w14:paraId="28853221"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kern w:val="0"/>
          <w:sz w:val="20"/>
          <w:szCs w:val="20"/>
          <w:lang w:val="en" w:eastAsia="en-GB"/>
          <w14:ligatures w14:val="none"/>
        </w:rPr>
        <w:t xml:space="preserve"> </w:t>
      </w:r>
    </w:p>
    <w:p w14:paraId="18E0F0F6"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b/>
          <w:bCs/>
          <w:kern w:val="0"/>
          <w:sz w:val="20"/>
          <w:szCs w:val="20"/>
          <w:lang w:val="en" w:eastAsia="en-GB"/>
          <w14:ligatures w14:val="none"/>
        </w:rPr>
        <w:t xml:space="preserve">Supplementary Data 1. </w:t>
      </w:r>
      <w:r w:rsidRPr="00337D91">
        <w:rPr>
          <w:rFonts w:ascii="Times New Roman" w:eastAsia="Times New Roman" w:hAnsi="Times New Roman" w:cs="Times New Roman"/>
          <w:kern w:val="0"/>
          <w:sz w:val="20"/>
          <w:szCs w:val="20"/>
          <w:lang w:val="en" w:eastAsia="en-GB"/>
          <w14:ligatures w14:val="none"/>
        </w:rPr>
        <w:t xml:space="preserve">Full database on included studies. Alongside the variables featured in table 2, we also collected the following data on included studies (where possible); Study title, authors and year of publication, whether frequency of RDU was measured, methods used to assess RDU and MH, which MH domain was investigated, and if separate analyses were conducted on depression and anxiety, the MH-specific relationships identified. We also captured whether the study was </w:t>
      </w:r>
      <w:proofErr w:type="gramStart"/>
      <w:r w:rsidRPr="00337D91">
        <w:rPr>
          <w:rFonts w:ascii="Times New Roman" w:eastAsia="Times New Roman" w:hAnsi="Times New Roman" w:cs="Times New Roman"/>
          <w:kern w:val="0"/>
          <w:sz w:val="20"/>
          <w:szCs w:val="20"/>
          <w:lang w:val="en" w:eastAsia="en-GB"/>
          <w14:ligatures w14:val="none"/>
        </w:rPr>
        <w:t>exploratory</w:t>
      </w:r>
      <w:proofErr w:type="gramEnd"/>
      <w:r w:rsidRPr="00337D91">
        <w:rPr>
          <w:rFonts w:ascii="Times New Roman" w:eastAsia="Times New Roman" w:hAnsi="Times New Roman" w:cs="Times New Roman"/>
          <w:kern w:val="0"/>
          <w:sz w:val="20"/>
          <w:szCs w:val="20"/>
          <w:lang w:val="en" w:eastAsia="en-GB"/>
          <w14:ligatures w14:val="none"/>
        </w:rPr>
        <w:t xml:space="preserve"> or hypothesis driven, whether the study used data from a larger cohort, statistical methods used, number of waves of relevant data collection, decade of publication, additional measures captured, alongside the method used to identify each study. </w:t>
      </w:r>
    </w:p>
    <w:p w14:paraId="0888C019"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p>
    <w:p w14:paraId="013E3170"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b/>
          <w:bCs/>
          <w:kern w:val="0"/>
          <w:sz w:val="20"/>
          <w:szCs w:val="20"/>
          <w:lang w:val="en" w:eastAsia="en-GB"/>
          <w14:ligatures w14:val="none"/>
        </w:rPr>
        <w:t>Supplementary Data 2.</w:t>
      </w:r>
      <w:r w:rsidRPr="00337D91">
        <w:rPr>
          <w:rFonts w:ascii="Times New Roman" w:eastAsia="Times New Roman" w:hAnsi="Times New Roman" w:cs="Times New Roman"/>
          <w:kern w:val="0"/>
          <w:sz w:val="20"/>
          <w:szCs w:val="20"/>
          <w:lang w:val="en" w:eastAsia="en-GB"/>
          <w14:ligatures w14:val="none"/>
        </w:rPr>
        <w:t xml:space="preserve"> Full bias and quality assessment. For each study, the breakdown of the 11 criteria from the Joanna Briggs Institute Critical Appraisal Checklist for Cohort studies which were met is shown.</w:t>
      </w:r>
    </w:p>
    <w:p w14:paraId="49FB4B90"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p>
    <w:p w14:paraId="488E9DCB"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b/>
          <w:bCs/>
          <w:kern w:val="0"/>
          <w:sz w:val="20"/>
          <w:szCs w:val="20"/>
          <w:lang w:val="en" w:eastAsia="en-GB"/>
          <w14:ligatures w14:val="none"/>
        </w:rPr>
        <w:t>Supplementary Data 3</w:t>
      </w:r>
      <w:r w:rsidRPr="00337D91">
        <w:rPr>
          <w:rFonts w:ascii="Times New Roman" w:eastAsia="Times New Roman" w:hAnsi="Times New Roman" w:cs="Times New Roman"/>
          <w:kern w:val="0"/>
          <w:sz w:val="20"/>
          <w:szCs w:val="20"/>
          <w:lang w:val="en" w:eastAsia="en-GB"/>
          <w14:ligatures w14:val="none"/>
        </w:rPr>
        <w:t>. Table of exclusions with reasons for reports assessed for eligibility from systematic searches (N=409). For each report, which exclusion criteria failed (if applicable) is shown.</w:t>
      </w:r>
    </w:p>
    <w:p w14:paraId="224848D1"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kern w:val="0"/>
          <w:sz w:val="20"/>
          <w:szCs w:val="20"/>
          <w:lang w:val="en" w:eastAsia="en-GB"/>
          <w14:ligatures w14:val="none"/>
        </w:rPr>
        <w:t xml:space="preserve"> </w:t>
      </w:r>
    </w:p>
    <w:p w14:paraId="4A1E4C1F"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b/>
          <w:bCs/>
          <w:kern w:val="0"/>
          <w:sz w:val="20"/>
          <w:szCs w:val="20"/>
          <w:lang w:val="en" w:eastAsia="en-GB"/>
          <w14:ligatures w14:val="none"/>
        </w:rPr>
        <w:t>Supplementary Data 4</w:t>
      </w:r>
      <w:r w:rsidRPr="00337D91">
        <w:rPr>
          <w:rFonts w:ascii="Times New Roman" w:eastAsia="Times New Roman" w:hAnsi="Times New Roman" w:cs="Times New Roman"/>
          <w:kern w:val="0"/>
          <w:sz w:val="20"/>
          <w:szCs w:val="20"/>
          <w:lang w:val="en" w:eastAsia="en-GB"/>
          <w14:ligatures w14:val="none"/>
        </w:rPr>
        <w:t>. Table of all records that underwent abstract and title screening (following duplicate removal) (N=4323).</w:t>
      </w:r>
    </w:p>
    <w:p w14:paraId="075B2512"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kern w:val="0"/>
          <w:sz w:val="20"/>
          <w:szCs w:val="20"/>
          <w:lang w:val="en" w:eastAsia="en-GB"/>
          <w14:ligatures w14:val="none"/>
        </w:rPr>
        <w:t xml:space="preserve"> </w:t>
      </w:r>
    </w:p>
    <w:p w14:paraId="4EA9D4EB"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b/>
          <w:bCs/>
          <w:kern w:val="0"/>
          <w:sz w:val="20"/>
          <w:szCs w:val="20"/>
          <w:lang w:val="en" w:eastAsia="en-GB"/>
          <w14:ligatures w14:val="none"/>
        </w:rPr>
        <w:t>Supplementary Handout 1</w:t>
      </w:r>
      <w:r w:rsidRPr="00337D91">
        <w:rPr>
          <w:rFonts w:ascii="Times New Roman" w:eastAsia="Times New Roman" w:hAnsi="Times New Roman" w:cs="Times New Roman"/>
          <w:kern w:val="0"/>
          <w:sz w:val="20"/>
          <w:szCs w:val="20"/>
          <w:lang w:val="en" w:eastAsia="en-GB"/>
          <w14:ligatures w14:val="none"/>
        </w:rPr>
        <w:t>. Commonly used abbreviations in this review.</w:t>
      </w:r>
    </w:p>
    <w:p w14:paraId="645A09BF" w14:textId="77777777" w:rsidR="00337D91" w:rsidRPr="00337D91" w:rsidRDefault="00337D91" w:rsidP="00337D91">
      <w:pPr>
        <w:spacing w:after="0" w:line="360" w:lineRule="auto"/>
        <w:jc w:val="both"/>
        <w:rPr>
          <w:rFonts w:ascii="Times New Roman" w:eastAsia="Times New Roman" w:hAnsi="Times New Roman" w:cs="Times New Roman"/>
          <w:kern w:val="0"/>
          <w:sz w:val="20"/>
          <w:szCs w:val="20"/>
          <w:lang w:val="en" w:eastAsia="en-GB"/>
          <w14:ligatures w14:val="none"/>
        </w:rPr>
      </w:pPr>
      <w:r w:rsidRPr="00337D91">
        <w:rPr>
          <w:rFonts w:ascii="Times New Roman" w:eastAsia="Times New Roman" w:hAnsi="Times New Roman" w:cs="Times New Roman"/>
          <w:kern w:val="0"/>
          <w:sz w:val="20"/>
          <w:szCs w:val="20"/>
          <w:lang w:val="en" w:eastAsia="en-GB"/>
          <w14:ligatures w14:val="none"/>
        </w:rPr>
        <w:t xml:space="preserve"> </w:t>
      </w:r>
    </w:p>
    <w:p w14:paraId="6D34BE13" w14:textId="77777777" w:rsidR="00337D91" w:rsidRPr="00337D91" w:rsidRDefault="00337D91" w:rsidP="00337D91">
      <w:pPr>
        <w:pBdr>
          <w:top w:val="nil"/>
          <w:left w:val="nil"/>
          <w:bottom w:val="nil"/>
          <w:right w:val="nil"/>
          <w:between w:val="nil"/>
        </w:pBdr>
        <w:spacing w:after="0" w:line="360" w:lineRule="auto"/>
        <w:jc w:val="both"/>
        <w:rPr>
          <w:rFonts w:ascii="Times New Roman" w:eastAsia="Times New Roman" w:hAnsi="Times New Roman" w:cs="Times New Roman"/>
          <w:b/>
          <w:bCs/>
          <w:kern w:val="0"/>
          <w:sz w:val="20"/>
          <w:szCs w:val="20"/>
          <w:lang w:val="en" w:eastAsia="en-GB"/>
          <w14:ligatures w14:val="none"/>
        </w:rPr>
      </w:pPr>
    </w:p>
    <w:p w14:paraId="043BD285" w14:textId="77777777" w:rsidR="00672C56" w:rsidRDefault="00672C56"/>
    <w:sectPr w:rsidR="00672C56" w:rsidSect="00337D91">
      <w:headerReference w:type="default" r:id="rId4"/>
      <w:footerReference w:type="default" r:id="rId5"/>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rdo">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A254" w14:textId="77777777" w:rsidR="00000000" w:rsidRDefault="00000000">
    <w:pPr>
      <w:pBdr>
        <w:top w:val="nil"/>
        <w:left w:val="nil"/>
        <w:bottom w:val="nil"/>
        <w:right w:val="nil"/>
        <w:between w:val="nil"/>
      </w:pBdr>
      <w:spacing w:line="259" w:lineRule="auto"/>
      <w:jc w:val="both"/>
      <w:rPr>
        <w:rFonts w:ascii="Calibri" w:eastAsia="Calibri" w:hAnsi="Calibri" w:cs="Calibri"/>
        <w:color w:val="000000"/>
        <w:sz w:val="20"/>
        <w:szCs w:val="20"/>
      </w:rPr>
    </w:pPr>
  </w:p>
  <w:p w14:paraId="47EB4350" w14:textId="77777777" w:rsidR="00000000" w:rsidRDefault="00000000">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C901" w14:textId="77777777" w:rsidR="00000000" w:rsidRDefault="00000000">
    <w:pPr>
      <w:pBdr>
        <w:top w:val="nil"/>
        <w:left w:val="nil"/>
        <w:bottom w:val="nil"/>
        <w:right w:val="nil"/>
        <w:between w:val="nil"/>
      </w:pBd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91"/>
    <w:rsid w:val="00337D91"/>
    <w:rsid w:val="00354635"/>
    <w:rsid w:val="0057667B"/>
    <w:rsid w:val="005F5105"/>
    <w:rsid w:val="00672C56"/>
    <w:rsid w:val="0081528A"/>
    <w:rsid w:val="0092074E"/>
    <w:rsid w:val="00C924B6"/>
    <w:rsid w:val="00DE0362"/>
    <w:rsid w:val="00EE05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9118B5"/>
  <w15:chartTrackingRefBased/>
  <w15:docId w15:val="{7274A352-C866-2C4B-BCD5-C6C06FC9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D91"/>
    <w:rPr>
      <w:rFonts w:eastAsiaTheme="majorEastAsia" w:cstheme="majorBidi"/>
      <w:color w:val="272727" w:themeColor="text1" w:themeTint="D8"/>
    </w:rPr>
  </w:style>
  <w:style w:type="paragraph" w:styleId="Title">
    <w:name w:val="Title"/>
    <w:basedOn w:val="Normal"/>
    <w:next w:val="Normal"/>
    <w:link w:val="TitleChar"/>
    <w:uiPriority w:val="10"/>
    <w:qFormat/>
    <w:rsid w:val="00337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D91"/>
    <w:pPr>
      <w:spacing w:before="160"/>
      <w:jc w:val="center"/>
    </w:pPr>
    <w:rPr>
      <w:i/>
      <w:iCs/>
      <w:color w:val="404040" w:themeColor="text1" w:themeTint="BF"/>
    </w:rPr>
  </w:style>
  <w:style w:type="character" w:customStyle="1" w:styleId="QuoteChar">
    <w:name w:val="Quote Char"/>
    <w:basedOn w:val="DefaultParagraphFont"/>
    <w:link w:val="Quote"/>
    <w:uiPriority w:val="29"/>
    <w:rsid w:val="00337D91"/>
    <w:rPr>
      <w:i/>
      <w:iCs/>
      <w:color w:val="404040" w:themeColor="text1" w:themeTint="BF"/>
    </w:rPr>
  </w:style>
  <w:style w:type="paragraph" w:styleId="ListParagraph">
    <w:name w:val="List Paragraph"/>
    <w:basedOn w:val="Normal"/>
    <w:uiPriority w:val="34"/>
    <w:qFormat/>
    <w:rsid w:val="00337D91"/>
    <w:pPr>
      <w:ind w:left="720"/>
      <w:contextualSpacing/>
    </w:pPr>
  </w:style>
  <w:style w:type="character" w:styleId="IntenseEmphasis">
    <w:name w:val="Intense Emphasis"/>
    <w:basedOn w:val="DefaultParagraphFont"/>
    <w:uiPriority w:val="21"/>
    <w:qFormat/>
    <w:rsid w:val="00337D91"/>
    <w:rPr>
      <w:i/>
      <w:iCs/>
      <w:color w:val="0F4761" w:themeColor="accent1" w:themeShade="BF"/>
    </w:rPr>
  </w:style>
  <w:style w:type="paragraph" w:styleId="IntenseQuote">
    <w:name w:val="Intense Quote"/>
    <w:basedOn w:val="Normal"/>
    <w:next w:val="Normal"/>
    <w:link w:val="IntenseQuoteChar"/>
    <w:uiPriority w:val="30"/>
    <w:qFormat/>
    <w:rsid w:val="00337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D91"/>
    <w:rPr>
      <w:i/>
      <w:iCs/>
      <w:color w:val="0F4761" w:themeColor="accent1" w:themeShade="BF"/>
    </w:rPr>
  </w:style>
  <w:style w:type="character" w:styleId="IntenseReference">
    <w:name w:val="Intense Reference"/>
    <w:basedOn w:val="DefaultParagraphFont"/>
    <w:uiPriority w:val="32"/>
    <w:qFormat/>
    <w:rsid w:val="00337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Clayden</dc:creator>
  <cp:keywords/>
  <dc:description/>
  <cp:lastModifiedBy>Benjamin Clayden</cp:lastModifiedBy>
  <cp:revision>1</cp:revision>
  <dcterms:created xsi:type="dcterms:W3CDTF">2026-10-06T16:52:00Z</dcterms:created>
  <dcterms:modified xsi:type="dcterms:W3CDTF">2026-10-06T16:54:00Z</dcterms:modified>
</cp:coreProperties>
</file>