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"/>
        <w:spacing w:after="80"/>
        <w:jc w:val="center"/>
      </w:pPr>
      <w:r>
        <w:rPr>
          <w:rFonts w:ascii="Calibri" w:hAnsi="Calibri"/>
          <w:color w:val="000000"/>
        </w:rPr>
        <w:t>Especificación de requisitos de Clínica Aura</w:t>
      </w:r>
    </w:p>
    <w:p>
      <w:pPr>
        <w:spacing w:after="80"/>
        <w:jc w:val="center"/>
      </w:pPr>
      <w:r>
        <w:t>Versión 3 | Actualización del 27 de octubre de 2026</w:t>
      </w:r>
    </w:p>
    <w:p>
      <w:pPr>
        <w:spacing w:after="80"/>
      </w:pPr>
      <w:r>
        <w:t>Este documento define los requisitos y el alcance implementado del frontend de Clínica Aura para la Evaluación Parcial 2. La aplicación permite consultar tratamientos y validar datos de una evaluación de demostración; no registra reservas ni confirma horas. Autores: Benjamin Diaz y Bikenson Fenelus.</w:t>
      </w:r>
    </w:p>
    <w:p>
      <w:pPr>
        <w:pStyle w:val="Ttulo1"/>
        <w:spacing w:after="80"/>
        <w:keepNext/>
      </w:pPr>
      <w:r>
        <w:rPr>
          <w:rFonts w:ascii="Calibri" w:hAnsi="Calibri"/>
          <w:b w:val="1"/>
          <w:color w:val="000000"/>
        </w:rPr>
        <w:t>1 Introducción</w:t>
      </w:r>
    </w:p>
    <w:p>
      <w:pPr>
        <w:pStyle w:val="Ttulo2"/>
        <w:spacing w:after="80"/>
      </w:pPr>
      <w:r>
        <w:rPr>
          <w:rFonts w:ascii="Calibri" w:hAnsi="Calibri"/>
          <w:color w:val="000000"/>
        </w:rPr>
        <w:t>1 1 Propósito</w:t>
      </w:r>
    </w:p>
    <w:p>
      <w:pPr>
        <w:spacing w:after="80"/>
      </w:pPr>
      <w:r>
        <w:t>Definir los requisitos funcionales y no funcionales del sitio web frontend de Clínica Aura, una clínica ficticia dedicada a la salud dental y la armonización facial. El documento sirve como referencia para el desarrollo, las pruebas y la evaluación del proyecto.</w:t>
      </w:r>
    </w:p>
    <w:p>
      <w:pPr>
        <w:pStyle w:val="Ttulo2"/>
        <w:spacing w:after="80"/>
      </w:pPr>
      <w:r>
        <w:rPr>
          <w:rFonts w:ascii="Calibri" w:hAnsi="Calibri"/>
          <w:color w:val="000000"/>
        </w:rPr>
        <w:t>1 2 Alcance</w:t>
      </w:r>
    </w:p>
    <w:p>
      <w:pPr>
        <w:spacing w:after="80"/>
      </w:pPr>
      <w:r>
        <w:t>El sitio permite conocer la clínica, consultar un catálogo desde una API simulada local, seleccionar un tratamiento y validar un formulario de demostración. Inicio incluye imágenes, un carrusel manual y un video educativo. Las direcciones inexistentes muestran una página 404.</w:t>
      </w:r>
    </w:p>
    <w:p>
      <w:pPr>
        <w:pStyle w:val="Ttulo2"/>
        <w:spacing w:after="80"/>
      </w:pPr>
      <w:r>
        <w:rPr>
          <w:rFonts w:ascii="Calibri" w:hAnsi="Calibri"/>
          <w:color w:val="000000"/>
        </w:rPr>
        <w:t>1 3 Público objetivo</w:t>
      </w:r>
    </w:p>
    <w:p>
      <w:pPr>
        <w:spacing w:after="80"/>
      </w:pPr>
      <w:r>
        <w:t>Personas interesadas en informarse sobre servicios dentales y faciales, revisar tratamientos y completar un formulario de evaluación de demostración.</w:t>
      </w:r>
    </w:p>
    <w:p>
      <w:pPr>
        <w:pStyle w:val="Ttulo1"/>
        <w:spacing w:after="80"/>
        <w:keepNext/>
      </w:pPr>
      <w:r>
        <w:rPr>
          <w:rFonts w:ascii="Calibri" w:hAnsi="Calibri"/>
          <w:b w:val="1"/>
          <w:color w:val="000000"/>
        </w:rPr>
        <w:t>2 Requerimientos funcionales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91"/>
        <w:gridCol w:w="8164"/>
      </w:tblGrid>
      <w:tr>
        <w:trPr>
          <w:cantSplit/>
          <w:tblHeader/>
          <w:tblHeader/>
          <w:cantSplit/>
        </w:trPr>
        <w:tc>
          <w:tcPr>
            <w:tcW w:type="dxa" w:w="1191"/>
            <w:shd w:fill="007C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keepNext/>
              <w:spacing w:after="60" w:before="60"/>
            </w:pPr>
            <w:r>
              <w:rPr>
                <w:b/>
                <w:color w:val="000000"/>
                <w:sz w:val="20"/>
              </w:rPr>
              <w:t>Código</w:t>
            </w:r>
          </w:p>
        </w:tc>
        <w:tc>
          <w:tcPr>
            <w:tcW w:type="dxa" w:w="8164"/>
            <w:shd w:fill="007C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keepNext/>
              <w:spacing w:after="60" w:before="60"/>
            </w:pPr>
            <w:r>
              <w:rPr>
                <w:b/>
                <w:color w:val="000000"/>
                <w:sz w:val="20"/>
              </w:rPr>
              <w:t>Requerimiento</w:t>
            </w:r>
          </w:p>
        </w:tc>
      </w:tr>
      <w:tr>
        <w:trPr>
          <w:cantSplit/>
          <w:cantSplit/>
        </w:trPr>
        <w:tc>
          <w:tcPr>
            <w:tcW w:type="dxa" w:w="119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RF-01</w:t>
            </w:r>
          </w:p>
        </w:tc>
        <w:tc>
          <w:tcPr>
            <w:tcW w:type="dxa" w:w="81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El usuario podrá navegar entre Inicio, Nosotros, Tratamientos, Reserva y Contacto.</w:t>
            </w:r>
          </w:p>
        </w:tc>
      </w:tr>
      <w:tr>
        <w:trPr>
          <w:cantSplit/>
          <w:cantSplit/>
        </w:trPr>
        <w:tc>
          <w:tcPr>
            <w:tcW w:type="dxa" w:w="1191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RF-02</w:t>
            </w:r>
          </w:p>
        </w:tc>
        <w:tc>
          <w:tcPr>
            <w:tcW w:type="dxa" w:w="816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El sistema consultará los tratamientos mediante la API simulada local.</w:t>
            </w:r>
          </w:p>
        </w:tc>
      </w:tr>
      <w:tr>
        <w:trPr>
          <w:cantSplit/>
          <w:cantSplit/>
        </w:trPr>
        <w:tc>
          <w:tcPr>
            <w:tcW w:type="dxa" w:w="119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RF-03</w:t>
            </w:r>
          </w:p>
        </w:tc>
        <w:tc>
          <w:tcPr>
            <w:tcW w:type="dxa" w:w="81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El catálogo mostrará nombre, descripción, imagen y precio referencial de cada tratamiento.</w:t>
            </w:r>
          </w:p>
        </w:tc>
      </w:tr>
      <w:tr>
        <w:trPr>
          <w:cantSplit/>
          <w:cantSplit/>
        </w:trPr>
        <w:tc>
          <w:tcPr>
            <w:tcW w:type="dxa" w:w="1191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RF-04</w:t>
            </w:r>
          </w:p>
        </w:tc>
        <w:tc>
          <w:tcPr>
            <w:tcW w:type="dxa" w:w="816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El sistema informará estados de carga, lista vacía y error cuando corresponda.</w:t>
            </w:r>
          </w:p>
        </w:tc>
      </w:tr>
      <w:tr>
        <w:trPr>
          <w:cantSplit/>
          <w:cantSplit/>
        </w:trPr>
        <w:tc>
          <w:tcPr>
            <w:tcW w:type="dxa" w:w="119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RF-05</w:t>
            </w:r>
          </w:p>
        </w:tc>
        <w:tc>
          <w:tcPr>
            <w:tcW w:type="dxa" w:w="81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El usuario podrá seleccionar un solo tratamiento y acceder a Reserva con ese tratamiento.</w:t>
            </w:r>
          </w:p>
        </w:tc>
      </w:tr>
      <w:tr>
        <w:trPr>
          <w:cantSplit/>
          <w:cantSplit/>
        </w:trPr>
        <w:tc>
          <w:tcPr>
            <w:tcW w:type="dxa" w:w="1191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RF-06</w:t>
            </w:r>
          </w:p>
        </w:tc>
        <w:tc>
          <w:tcPr>
            <w:tcW w:type="dxa" w:w="816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El usuario podrá completar un formulario de evaluación de demostración con nombre, RUT, correo, servicio y comentario.</w:t>
            </w:r>
          </w:p>
        </w:tc>
      </w:tr>
      <w:tr>
        <w:trPr>
          <w:cantSplit/>
          <w:cantSplit/>
        </w:trPr>
        <w:tc>
          <w:tcPr>
            <w:tcW w:type="dxa" w:w="119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RF-07</w:t>
            </w:r>
          </w:p>
        </w:tc>
        <w:tc>
          <w:tcPr>
            <w:tcW w:type="dxa" w:w="81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El formulario validará nombre de 3 a 80 caracteres, letras y separadores permitidos; RUT por módulo 11; correo de hasta 254 caracteres; y servicio presente en el catálogo. El comentario será opcional, con máximo de 500 caracteres. Los errores se asociarán a los campos y el foco irá al primero incorrecto.</w:t>
            </w:r>
          </w:p>
        </w:tc>
      </w:tr>
      <w:tr>
        <w:trPr>
          <w:cantSplit/>
          <w:cantSplit/>
        </w:trPr>
        <w:tc>
          <w:tcPr>
            <w:tcW w:type="dxa" w:w="1191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RF-08</w:t>
            </w:r>
          </w:p>
        </w:tc>
        <w:tc>
          <w:tcPr>
            <w:tcW w:type="dxa" w:w="816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Con datos válidos, el formulario mostrará «Datos válidos. Clínica ficticia.». Ese resultado no registra una reserva ni envía una solicitud.</w:t>
            </w:r>
          </w:p>
        </w:tc>
      </w:tr>
      <w:tr>
        <w:trPr>
          <w:cantSplit/>
          <w:cantSplit/>
        </w:trPr>
        <w:tc>
          <w:tcPr>
            <w:tcW w:type="dxa" w:w="119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RF-09</w:t>
            </w:r>
          </w:p>
        </w:tc>
        <w:tc>
          <w:tcPr>
            <w:tcW w:type="dxa" w:w="81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El botón Limpiar eliminará valores, errores, selección y resultado del formulario.</w:t>
            </w:r>
          </w:p>
        </w:tc>
      </w:tr>
      <w:tr>
        <w:trPr>
          <w:cantSplit/>
          <w:cantSplit/>
        </w:trPr>
        <w:tc>
          <w:tcPr>
            <w:tcW w:type="dxa" w:w="1191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RF-10</w:t>
            </w:r>
          </w:p>
        </w:tc>
        <w:tc>
          <w:tcPr>
            <w:tcW w:type="dxa" w:w="816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La API rechazará configuraciones de tratamientos incompletas o con tipos inválidos.</w:t>
            </w:r>
          </w:p>
        </w:tc>
      </w:tr>
      <w:tr>
        <w:trPr>
          <w:cantSplit/>
          <w:cantSplit/>
        </w:trPr>
        <w:tc>
          <w:tcPr>
            <w:tcW w:type="dxa" w:w="119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RF-11</w:t>
            </w:r>
          </w:p>
        </w:tc>
        <w:tc>
          <w:tcPr>
            <w:tcW w:type="dxa" w:w="81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Inicio permitirá cambiar manualmente las imágenes del carrusel y acceder al video educativo.</w:t>
            </w:r>
          </w:p>
        </w:tc>
      </w:tr>
      <w:tr>
        <w:trPr>
          <w:cantSplit/>
          <w:cantSplit/>
        </w:trPr>
        <w:tc>
          <w:tcPr>
            <w:tcW w:type="dxa" w:w="1191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RF-12</w:t>
            </w:r>
          </w:p>
        </w:tc>
        <w:tc>
          <w:tcPr>
            <w:tcW w:type="dxa" w:w="816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Una dirección inexistente mostrará la página 404 con enlaces a Inicio y Tratamientos.</w:t>
            </w:r>
          </w:p>
        </w:tc>
      </w:tr>
    </w:tbl>
    <w:p>
      <w:pPr>
        <w:spacing w:after="80"/>
        <w:pStyle w:val="Ttulo1"/>
        <w:keepNext/>
      </w:pPr>
      <w:r>
        <w:rPr>
          <w:rFonts w:ascii="Calibri" w:hAnsi="Calibri"/>
          <w:b w:val="1"/>
          <w:color w:val="000000"/>
        </w:rPr>
        <w:t>3 Requerimientos no funcionales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91"/>
        <w:gridCol w:w="8164"/>
      </w:tblGrid>
      <w:tr>
        <w:trPr>
          <w:cantSplit/>
          <w:tblHeader/>
          <w:tblHeader/>
          <w:cantSplit/>
        </w:trPr>
        <w:tc>
          <w:tcPr>
            <w:tcW w:type="dxa" w:w="1191"/>
            <w:shd w:fill="007C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keepNext/>
              <w:spacing w:after="60" w:before="60"/>
            </w:pPr>
            <w:r>
              <w:rPr>
                <w:b/>
                <w:color w:val="000000"/>
                <w:sz w:val="20"/>
              </w:rPr>
              <w:t>Código</w:t>
            </w:r>
          </w:p>
        </w:tc>
        <w:tc>
          <w:tcPr>
            <w:tcW w:type="dxa" w:w="8164"/>
            <w:shd w:fill="007C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keepNext/>
              <w:spacing w:after="60" w:before="60"/>
            </w:pPr>
            <w:r>
              <w:rPr>
                <w:b/>
                <w:color w:val="000000"/>
                <w:sz w:val="20"/>
              </w:rPr>
              <w:t>Requerimiento</w:t>
            </w:r>
          </w:p>
        </w:tc>
      </w:tr>
      <w:tr>
        <w:trPr>
          <w:cantSplit/>
          <w:cantSplit/>
        </w:trPr>
        <w:tc>
          <w:tcPr>
            <w:tcW w:type="dxa" w:w="119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RNF-01</w:t>
            </w:r>
          </w:p>
        </w:tc>
        <w:tc>
          <w:tcPr>
            <w:tcW w:type="dxa" w:w="81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La interfaz utilizará componentes React y rutas de Next.js.</w:t>
            </w:r>
          </w:p>
        </w:tc>
      </w:tr>
      <w:tr>
        <w:trPr>
          <w:cantSplit/>
          <w:cantSplit/>
        </w:trPr>
        <w:tc>
          <w:tcPr>
            <w:tcW w:type="dxa" w:w="1191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RNF-02</w:t>
            </w:r>
          </w:p>
        </w:tc>
        <w:tc>
          <w:tcPr>
            <w:tcW w:type="dxa" w:w="816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Los datos y validaciones estarán escritos en JavaScript y los componentes y páginas en JSX. No se requiere TypeScript en el código propio.</w:t>
            </w:r>
          </w:p>
        </w:tc>
      </w:tr>
      <w:tr>
        <w:trPr>
          <w:cantSplit/>
          <w:cantSplit/>
        </w:trPr>
        <w:tc>
          <w:tcPr>
            <w:tcW w:type="dxa" w:w="119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RNF-03</w:t>
            </w:r>
          </w:p>
        </w:tc>
        <w:tc>
          <w:tcPr>
            <w:tcW w:type="dxa" w:w="81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Los estilos estarán centralizados en archivos CSS externos.</w:t>
            </w:r>
          </w:p>
        </w:tc>
      </w:tr>
      <w:tr>
        <w:trPr>
          <w:cantSplit/>
          <w:cantSplit/>
        </w:trPr>
        <w:tc>
          <w:tcPr>
            <w:tcW w:type="dxa" w:w="1191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RNF-04</w:t>
            </w:r>
          </w:p>
        </w:tc>
        <w:tc>
          <w:tcPr>
            <w:tcW w:type="dxa" w:w="816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El diseño se adaptará a computadores, tablets y teléfonos mediante reglas responsivas.</w:t>
            </w:r>
          </w:p>
        </w:tc>
      </w:tr>
      <w:tr>
        <w:trPr>
          <w:cantSplit/>
          <w:cantSplit/>
        </w:trPr>
        <w:tc>
          <w:tcPr>
            <w:tcW w:type="dxa" w:w="119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RNF-05</w:t>
            </w:r>
          </w:p>
        </w:tc>
        <w:tc>
          <w:tcPr>
            <w:tcW w:type="dxa" w:w="81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Las imágenes tendrán texto alternativo y los controles del formulario tendrán etiquetas asociadas.</w:t>
            </w:r>
          </w:p>
        </w:tc>
      </w:tr>
      <w:tr>
        <w:trPr>
          <w:cantSplit/>
          <w:cantSplit/>
        </w:trPr>
        <w:tc>
          <w:tcPr>
            <w:tcW w:type="dxa" w:w="1191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RNF-06</w:t>
            </w:r>
          </w:p>
        </w:tc>
        <w:tc>
          <w:tcPr>
            <w:tcW w:type="dxa" w:w="816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Los controles interactivos tendrán foco visible y el contenido usará relaciones semánticas y estados ARIA cuando corresponde.</w:t>
            </w:r>
          </w:p>
        </w:tc>
      </w:tr>
      <w:tr>
        <w:trPr>
          <w:cantSplit/>
          <w:cantSplit/>
        </w:trPr>
        <w:tc>
          <w:tcPr>
            <w:tcW w:type="dxa" w:w="119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RNF-07</w:t>
            </w:r>
          </w:p>
        </w:tc>
        <w:tc>
          <w:tcPr>
            <w:tcW w:type="dxa" w:w="81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Las cinco pruebas unitarias se ejecutarán con QUnit sobre las validaciones reales, sin depender de la API y sin mocks.</w:t>
            </w:r>
          </w:p>
        </w:tc>
      </w:tr>
      <w:tr>
        <w:trPr>
          <w:cantSplit/>
          <w:cantSplit/>
        </w:trPr>
        <w:tc>
          <w:tcPr>
            <w:tcW w:type="dxa" w:w="1191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RNF-08</w:t>
            </w:r>
          </w:p>
        </w:tc>
        <w:tc>
          <w:tcPr>
            <w:tcW w:type="dxa" w:w="816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El proyecto podrá ejecutarse localmente con los scripts definidos en package.json.</w:t>
            </w:r>
          </w:p>
        </w:tc>
      </w:tr>
      <w:tr>
        <w:trPr>
          <w:cantSplit/>
          <w:cantSplit/>
        </w:trPr>
        <w:tc>
          <w:tcPr>
            <w:tcW w:type="dxa" w:w="119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RNF-09</w:t>
            </w:r>
          </w:p>
        </w:tc>
        <w:tc>
          <w:tcPr>
            <w:tcW w:type="dxa" w:w="81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La navegación y los mensajes serán claros y consistentes en las páginas implementadas.</w:t>
            </w:r>
          </w:p>
        </w:tc>
      </w:tr>
      <w:tr>
        <w:trPr>
          <w:cantSplit/>
          <w:cantSplit/>
        </w:trPr>
        <w:tc>
          <w:tcPr>
            <w:tcW w:type="dxa" w:w="1191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RNF-10</w:t>
            </w:r>
          </w:p>
        </w:tc>
        <w:tc>
          <w:tcPr>
            <w:tcW w:type="dxa" w:w="816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La suite comprobará nombre, dígito y formatos de RUT, correo y servicio. Los resultados y los límites de las pruebas se documentarán sin afirmar cobertura total.</w:t>
            </w:r>
          </w:p>
        </w:tc>
      </w:tr>
    </w:tbl>
    <w:p>
      <w:pPr>
        <w:pStyle w:val="Ttulo1"/>
        <w:spacing w:after="80"/>
        <w:keepNext/>
      </w:pPr>
      <w:r>
        <w:rPr>
          <w:rFonts w:ascii="Calibri" w:hAnsi="Calibri"/>
          <w:b w:val="1"/>
          <w:color w:val="000000"/>
        </w:rPr>
        <w:t>4 Herramientas y tecnologías</w:t>
      </w:r>
    </w:p>
    <w:p>
      <w:pPr>
        <w:spacing w:after="80"/>
      </w:pPr>
      <w:r>
        <w:t>React 19.3.1 y Next.js 16.4.2 para componentes, estados, navegación y rutas.</w:t>
      </w:r>
    </w:p>
    <w:p>
      <w:pPr>
        <w:pStyle w:val="Normal"/>
        <w:spacing w:after="80"/>
      </w:pPr>
      <w:r>
        <w:t>JavaScript para datos y validaciones, y JSX para componentes y páginas. jsconfig.json define el alias @/ hacia la raíz del proyecto.</w:t>
      </w:r>
    </w:p>
    <w:p>
      <w:pPr>
        <w:spacing w:after="80"/>
        <w:ind w:left="360" w:hanging="259"/>
      </w:pPr>
      <w:r>
        <w:t>CSS propio en archivos externos y reglas responsivas para adaptar la interfaz.</w:t>
      </w:r>
    </w:p>
    <w:p>
      <w:pPr>
        <w:spacing w:after="80"/>
        <w:ind w:left="360" w:hanging="259"/>
      </w:pPr>
      <w:r>
        <w:t>Node.js para ejecutar Next.js, la API local y los tests. npm instala dependencias y ejecuta los scripts de package.json.</w:t>
      </w:r>
    </w:p>
    <w:p>
      <w:pPr>
        <w:spacing w:after="80"/>
        <w:ind w:left="360" w:hanging="259"/>
      </w:pPr>
      <w:r>
        <w:t>QUnit 3.0.0 para cinco pruebas unitarias de las validaciones, ejecutables en terminal y navegador.</w:t>
      </w:r>
    </w:p>
    <w:p>
      <w:pPr>
        <w:spacing w:after="80"/>
        <w:ind w:left="360" w:hanging="259"/>
      </w:pPr>
      <w:r>
        <w:t>Git y GitHub para control de versiones y trabajo mediante ramas e integración a main.</w:t>
      </w:r>
    </w:p>
    <w:p>
      <w:pPr>
        <w:spacing w:after="80"/>
        <w:ind w:left="360" w:hanging="259"/>
        <w:pStyle w:val="Ttulo1"/>
        <w:keepNext/>
      </w:pPr>
      <w:r>
        <w:rPr>
          <w:rFonts w:ascii="Calibri" w:hAnsi="Calibri"/>
          <w:b w:val="1"/>
          <w:color w:val="000000"/>
        </w:rPr>
        <w:t>5 Propuesta de solución</w:t>
      </w:r>
    </w:p>
    <w:p>
      <w:pPr>
        <w:spacing w:after="80"/>
        <w:ind w:left="360" w:hanging="259"/>
      </w:pPr>
      <w:r>
        <w:t>La interfaz utiliza componentes reutilizables con propiedades y estados de React. Next.js organiza las cinco rutas y una estructura común de encabezado y pie de página. La carpeta data contiene información y la consulta de tratamientos; services contiene las validaciones. useState y useEffect se utilizan dentro de los componentes, sin hooks personalizados. La API lee api_simulada/db.json y ofrece GET /tratamientos. El formulario controla valores, errores y resultado, enfoca el primer campo incorrecto y permite limpiar. Los tests llaman a las funciones reales de validación sin consultar la API.</w:t>
      </w:r>
    </w:p>
    <w:p>
      <w:pPr>
        <w:pStyle w:val="Ttulo1"/>
        <w:spacing w:after="80"/>
        <w:keepNext/>
      </w:pPr>
      <w:r>
        <w:rPr>
          <w:rFonts w:ascii="Calibri" w:hAnsi="Calibri"/>
          <w:b w:val="1"/>
          <w:color w:val="000000"/>
        </w:rPr>
        <w:t>6 Restricciones</w:t>
      </w:r>
    </w:p>
    <w:p>
      <w:pPr>
        <w:spacing w:after="80"/>
      </w:pPr>
      <w:r>
        <w:t>El formulario valida datos y muestra «Datos válidos. Clínica ficticia.». No guarda solicitudes, envía correos, reserva horas ni modifica los datos de la API.</w:t>
      </w:r>
    </w:p>
    <w:p>
      <w:pPr>
        <w:pStyle w:val="Normal"/>
        <w:spacing w:after="80"/>
      </w:pPr>
      <w:r>
        <w:t>La API se ejecuta localmente en 127.0.0.1:3001. Solo permite consultar tratamientos; no existe una base de datos de reservas ni un servidor de producción configurado.</w:t>
      </w:r>
    </w:p>
    <w:p>
      <w:pPr>
        <w:spacing w:after="80"/>
        <w:ind w:left="360" w:hanging="259"/>
      </w:pPr>
      <w:r>
        <w:t>Los datos de contacto, ubicación y precios son ficticios o referenciales. El video educativo requiere conexión a Internet. La lista de tratamientos se carga desde la API y necesita que ese servidor esté encendido.</w:t>
      </w:r>
    </w:p>
    <w:p>
      <w:pPr>
        <w:spacing w:after="80"/>
        <w:ind w:left="360" w:hanging="259"/>
      </w:pPr>
      <w:r>
        <w:t>No se utilizan mocks ni herramientas de cobertura. No hay porcentajes vigentes de cobertura y no se afirma que las cinco pruebas comprueben toda la aplicación. El detalle está en INFORME-TESTING.md y docs/PRUEBAS.md.</w:t>
      </w:r>
    </w:p>
    <w:p>
      <w:pPr>
        <w:pStyle w:val="Normal"/>
        <w:spacing w:after="80"/>
      </w:pPr>
      <w:r>
        <w:t>Se utiliza CSS propio y cinco pruebas con QUnit. La pauta principal solicita Bootstrap y pruebas con Jasmine/Karma, además de evidencias de mocks y cobertura; estas diferencias siguen pendientes de resolver o acordar con el docente. No se consideran aprobadas por el solo hecho de actualizar este documento.</w:t>
      </w:r>
    </w:p>
    <w:p>
      <w:pPr>
        <w:spacing w:after="80"/>
        <w:ind w:left="360" w:hanging="259"/>
        <w:pStyle w:val="Ttulo1"/>
        <w:keepNext/>
      </w:pPr>
      <w:r>
        <w:rPr>
          <w:rFonts w:ascii="Calibri" w:hAnsi="Calibri"/>
          <w:b w:val="1"/>
          <w:color w:val="000000"/>
        </w:rPr>
        <w:t>7 Mejoras futuras</w:t>
      </w:r>
    </w:p>
    <w:p>
      <w:pPr>
        <w:spacing w:after="80"/>
        <w:ind w:left="360" w:hanging="259"/>
      </w:pPr>
      <w:r>
        <w:t>• Agregar una base de datos para reservas y tratamientos.</w:t>
      </w:r>
    </w:p>
    <w:p>
      <w:r>
        <w:t>• Mostrar horas disponibles en tiempo real y enviar confirmaciones por correo.</w:t>
      </w:r>
    </w:p>
    <w:p>
      <w:r>
        <w:t>• Incorporar autenticación, pagos o un panel administrativo solo si el alcance del proyecto cambia.</w:t>
      </w:r>
    </w:p>
    <w:p>
      <w:pPr>
        <w:spacing w:after="80"/>
        <w:pStyle w:val="Ttulo1"/>
        <w:keepNext/>
      </w:pPr>
      <w:r>
        <w:rPr>
          <w:rFonts w:ascii="Calibri" w:hAnsi="Calibri"/>
          <w:b w:val="1"/>
          <w:color w:val="000000"/>
        </w:rPr>
        <w:t>8 Pruebas y verificación</w:t>
      </w:r>
    </w:p>
    <w:p>
      <w:pPr>
        <w:spacing w:after="80"/>
        <w:pStyle w:val="Normal"/>
      </w:pPr>
      <w:r>
        <w:t>La suite contiene cinco pruebas de QUnit en cuatro archivos: nombre, dígito verificador de RUT, formatos de RUT, correo y servicio. Son 21 comprobaciones sobre funciones reales de services/validacionesReserva.js. npm test ejecuta la suite y termina; npm run test:watch la repite al guardar. npm run test:web inicia un servidor local de resultados en http://127.0.0.1:4000/tests/index.html, con los mismos casos y sin depender de Next.js, de la API ni de un CDN.</w:t>
      </w:r>
    </w:p>
    <w:p>
      <w:pPr>
        <w:spacing w:after="80"/>
        <w:pStyle w:val="Normal"/>
      </w:pPr>
      <w:r>
        <w:t>La verificación del 27 de octubre de 2026 registra cinco pruebas exitosas y cero fallidas en la terminal. La ejecución en navegador de esta misma suite también se verificó con cinco casos aprobados y sin errores de JavaScript. La compilación de producción con npm run build terminó correctamente. Las revisiones manuales previas de navegación, catálogo, selección, validación, limpieza y API apagada complementan la suite; no son pruebas automáticas de QUnit ni una medición de cobertura.</w:t>
      </w:r>
    </w:p>
    <w:p>
      <w:pPr>
        <w:pStyle w:val="Ttulo1"/>
      </w:pPr>
      <w:r>
        <w:rPr>
          <w:rFonts w:ascii="Calibri" w:hAnsi="Calibri"/>
          <w:color w:val="000000"/>
        </w:rPr>
        <w:t>9 Ejecución local y documentación</w:t>
      </w:r>
    </w:p>
    <w:p>
      <w:r>
        <w:t>Los comandos se ejecutan desde la carpeta que contiene package.json. Si el proyecto descargado incluye otra carpeta con el mismo nombre, se debe entrar a esa carpeta antes de ejecutar npm.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087"/>
      </w:tblGrid>
      <w:tr>
        <w:trPr>
          <w:tblHeader/>
          <w:cantSplit/>
        </w:trPr>
        <w:tc>
          <w:tcPr>
            <w:tcW w:type="dxa" w:w="22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keepNext/>
              <w:spacing w:after="60" w:before="60"/>
            </w:pPr>
            <w:r>
              <w:rPr>
                <w:b/>
                <w:color w:val="000000"/>
                <w:sz w:val="20"/>
              </w:rPr>
              <w:t>Comando</w:t>
            </w:r>
          </w:p>
        </w:tc>
        <w:tc>
          <w:tcPr>
            <w:tcW w:type="dxa" w:w="70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keepNext/>
              <w:spacing w:after="60" w:before="60"/>
            </w:pPr>
            <w:r>
              <w:rPr>
                <w:b/>
                <w:color w:val="000000"/>
                <w:sz w:val="20"/>
              </w:rPr>
              <w:t>Función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npm install</w:t>
            </w:r>
          </w:p>
        </w:tc>
        <w:tc>
          <w:tcPr>
            <w:tcW w:type="dxa" w:w="70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Instalar las dependencias del proyecto.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npm run api</w:t>
            </w:r>
          </w:p>
        </w:tc>
        <w:tc>
          <w:tcPr>
            <w:tcW w:type="dxa" w:w="70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Iniciar la API en http://127.0.0.1:3001/tratamientos.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npm run dev</w:t>
            </w:r>
          </w:p>
        </w:tc>
        <w:tc>
          <w:tcPr>
            <w:tcW w:type="dxa" w:w="70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Iniciar el sitio en http://localhost:3000, en otra terminal.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npm test</w:t>
            </w:r>
          </w:p>
        </w:tc>
        <w:tc>
          <w:tcPr>
            <w:tcW w:type="dxa" w:w="70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Ejecutar las cinco pruebas en la terminal.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npm run test:web</w:t>
            </w:r>
          </w:p>
        </w:tc>
        <w:tc>
          <w:tcPr>
            <w:tcW w:type="dxa" w:w="70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Abrir los resultados QUnit en http://127.0.0.1:4000/tests/index.html.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npm run build</w:t>
            </w:r>
          </w:p>
        </w:tc>
        <w:tc>
          <w:tcPr>
            <w:tcW w:type="dxa" w:w="70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Generar la compilación de producción.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npm start</w:t>
            </w:r>
          </w:p>
        </w:tc>
        <w:tc>
          <w:tcPr>
            <w:tcW w:type="dxa" w:w="70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color w:val="000000"/>
                <w:sz w:val="20"/>
              </w:rPr>
              <w:t>Servir la compilación ya generada; detener antes npm run dev si ocupa el puerto 3000.</w:t>
            </w:r>
          </w:p>
        </w:tc>
      </w:tr>
    </w:tbl>
    <w:p>
      <w:pPr>
        <w:spacing w:before="160"/>
      </w:pPr>
      <w:r>
        <w:t>Mantener abiertas las terminales de los servidores y detenerlas con Ctrl+C. Si el puerto 4000 ya está ocupado por el servidor de pruebas, utilizar la instancia abierta o detenerla antes de iniciarlo otra vez.</w:t>
      </w:r>
    </w:p>
    <w:p>
      <w:r>
        <w:t>README.md contiene la instalación y los comandos. INFORME-TESTING.md y docs/PRUEBAS.md detallan las pruebas. Los HTML originales y js/script.js se conservan como referencia de la versión anterior; la aplicación actual utiliza las páginas JSX y las validaciones de services.</w:t>
      </w:r>
    </w:p>
    <w:p>
      <w:r>
        <w:t>Repositorio público: https://github.com/benjadiaz112/frontend-clinica-dental-facial</w:t>
      </w:r>
    </w:p>
    <w:sectPr w:rsidR="00D94B26">
      <w:pgSz w:w="12240" w:h="15840"/>
      <w:pgMar w:top="1134" w:right="1247" w:bottom="1134" w:left="124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83F"/>
    <w:rsid w:val="0047689E"/>
    <w:rsid w:val="006D63F0"/>
    <w:rsid w:val="00946AD5"/>
    <w:rsid w:val="009B783F"/>
    <w:rsid w:val="00B37213"/>
    <w:rsid w:val="00D94B26"/>
    <w:rsid w:val="00DD4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A14808"/>
  <w15:chartTrackingRefBased/>
  <w15:docId w15:val="{85A590EA-31AE-4665-8866-8176CA827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59" w:lineRule="auto"/>
    </w:pPr>
    <w:rPr>
      <w:rFonts w:ascii="Calibri" w:hAnsi="Calibri"/>
      <w:color w:val="000000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9B78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color w:val="000000"/>
      <w:sz w:val="3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B78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color w:val="000000"/>
      <w:sz w:val="24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B78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B78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78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78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78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78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78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78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B78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B78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B78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783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78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78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78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78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B783F"/>
    <w:pPr>
      <w:spacing w:after="8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-10"/>
      <w:kern w:val="28"/>
      <w:sz w:val="48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B78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B783F"/>
    <w:pPr>
      <w:numPr>
        <w:ilvl w:val="1"/>
      </w:numPr>
    </w:pPr>
    <w:rPr>
      <w:rFonts w:eastAsiaTheme="majorEastAsia" w:cstheme="majorBidi" w:ascii="Calibri" w:hAnsi="Calibri"/>
      <w:color w:val="000000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B78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B78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B78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B78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B783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78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783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B78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714</Words>
  <Characters>3931</Characters>
  <Application>Microsoft Office Word</Application>
  <DocSecurity>0</DocSecurity>
  <Lines>32</Lines>
  <Paragraphs>9</Paragraphs>
  <ScaleCrop>false</ScaleCrop>
  <Company/>
  <LinksUpToDate>false</LinksUpToDate>
  <CharactersWithSpaces>4636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requisitos de Clínica Aura</dc:title>
  <dc:subject>Especificaci?n de requisitos del software</dc:subject>
  <dc:creator>Benjamin Diaz y Bikenson Fenelus</dc:creator>
  <cp:keywords/>
  <dc:description/>
  <cp:lastModifiedBy>BENJAMIN DIAZ</cp:lastModifiedBy>
  <cp:revision>2</cp:revision>
  <dcterms:created xsi:type="dcterms:W3CDTF">2026-09-04T22:46:00Z</dcterms:created>
  <dcterms:modified xsi:type="dcterms:W3CDTF">2026-09-08T03:29:00Z</dcterms:modified>
  <cp:version>3</cp:version>
</cp:coreProperties>
</file>