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PRESUPUESTO DE RED 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INFRAESTRUCTURA TECNOLÓGICA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2E5496"/>
          <w:sz w:val="21"/>
          <w:szCs w:val="21"/>
        </w:rPr>
        <w:t xml:space="preserve">1 sucursal · 3 plantas (Capital y Provincia) · Cableado estructurado, red PoE, WAN site-to-site y mano de obra</w:t>
      </w:r>
    </w:p>
    <w:p>
      <w:pPr>
        <w:pBdr>
          <w:top w:val="single" w:color="1F3864" w:sz="6" w:space="8"/>
        </w:pBdr>
        <w:spacing w:after="100" w:before="200"/>
        <w:jc w:val="center"/>
      </w:pPr>
    </w:p>
    <w:p>
      <w:pPr>
        <w:spacing w:before="7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20 departamentos  ·  1.218 puntos de red  ·  7 racks en 3 plantas</w:t>
      </w:r>
    </w:p>
    <w:p>
      <w:pPr>
        <w:spacing w:before="260"/>
        <w:jc w:val="center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Subtotal materiales: $107.182.151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Subtotal mano de obra: $37.926.215</w:t>
      </w:r>
    </w:p>
    <w:p>
      <w:pPr>
        <w:spacing w:before="160"/>
        <w:jc w:val="center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TOTAL GENERAL DEL PROYECTO: $145.108.366</w:t>
      </w:r>
    </w:p>
    <w:p>
      <w:r>
        <w:br w:type="page"/>
      </w:r>
    </w:p>
    <w:p>
      <w:pPr>
        <w:sectPr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C00000"/>
          <w:sz w:val="28"/>
          <w:szCs w:val="28"/>
        </w:rPr>
        <w:t xml:space="preserve">0. </w:t>
      </w: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Resumen ejecutivo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62626"/>
          <w:sz w:val="20"/>
          <w:szCs w:val="20"/>
        </w:rPr>
        <w:t xml:space="preserve">Este documento presenta el dimensionamiento y presupuesto de una sucursal única organizada en tres plantas: la Gerencia de Producción, ubicada en Capital, y el resto de los departamentos, distribuidos de forma equivalente entre dos plantas en Provincia de Buenos Aires. Se incluyen los materiales de red y voz, la mano de obra de instalación y puesta en marcha, y la interconexión WAN entre las tres plantas.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CE6F1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Sucursales</w:t>
            </w:r>
          </w:p>
        </w:tc>
        <w:tc>
          <w:tcPr>
            <w:tcW w:type="dxa" w:w="23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CE6F1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Plantas</w:t>
            </w:r>
          </w:p>
        </w:tc>
        <w:tc>
          <w:tcPr>
            <w:tcW w:type="dxa" w:w="23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CE6F1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Departamentos</w:t>
            </w:r>
          </w:p>
        </w:tc>
        <w:tc>
          <w:tcPr>
            <w:tcW w:type="dxa" w:w="2300"/>
            <w:tcBorders>
              <w:top w:val="single" w:color="2E5496" w:sz="4"/>
              <w:left w:val="single" w:color="2E5496" w:sz="4"/>
              <w:bottom w:val="single" w:color="2E5496" w:sz="4"/>
              <w:right w:val="single" w:color="2E5496" w:sz="4"/>
            </w:tcBorders>
            <w:shd w:fill="DCE6F1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1.218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Puntos de red</w:t>
            </w:r>
          </w:p>
        </w:tc>
      </w:tr>
    </w:tbl>
    <w:p>
      <w:pPr>
        <w:spacing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7"/>
        <w:gridCol w:w="3067"/>
        <w:gridCol w:w="3066"/>
      </w:tblGrid>
      <w:tr>
        <w:tc>
          <w:tcPr>
            <w:tcW w:type="dxa" w:w="3067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BEED9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5C00"/>
                <w:sz w:val="24"/>
                <w:szCs w:val="24"/>
              </w:rPr>
              <w:t xml:space="preserve">$107.182.151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Subtotal materiales</w:t>
            </w:r>
          </w:p>
        </w:tc>
        <w:tc>
          <w:tcPr>
            <w:tcW w:type="dxa" w:w="3067"/>
            <w:tcBorders>
              <w:top w:val="single" w:color="146C6E" w:sz="4"/>
              <w:left w:val="single" w:color="146C6E" w:sz="4"/>
              <w:bottom w:val="single" w:color="146C6E" w:sz="4"/>
              <w:right w:val="single" w:color="146C6E" w:sz="4"/>
            </w:tcBorders>
            <w:shd w:fill="DAEEEE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6C6E"/>
                <w:sz w:val="24"/>
                <w:szCs w:val="24"/>
              </w:rPr>
              <w:t xml:space="preserve">$37.926.215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Subtotal mano de obra</w:t>
            </w:r>
          </w:p>
        </w:tc>
        <w:tc>
          <w:tcPr>
            <w:tcW w:type="dxa" w:w="306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E4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4"/>
                <w:szCs w:val="24"/>
              </w:rPr>
              <w:t xml:space="preserve">$145.108.366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95959"/>
                <w:sz w:val="15"/>
                <w:szCs w:val="15"/>
              </w:rPr>
              <w:t xml:space="preserve">Total general del proyecto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C00000"/>
          <w:sz w:val="28"/>
          <w:szCs w:val="28"/>
        </w:rPr>
        <w:t xml:space="preserve">1. </w:t>
      </w: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Organización de la sucursal en tres plantas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62626"/>
          <w:sz w:val="20"/>
          <w:szCs w:val="20"/>
        </w:rPr>
        <w:t xml:space="preserve">La empresa opera una única sucursal, distribuida físicamente en tres plantas: Gerencia de Producción permanece en Capital, mientras que los 19 departamentos restantes se reparten en cantidad equivalente entre las dos plantas de Provincia (10 y 9 departamentos respectivamente), balanceando la carga de puestos de trabajo entre ambas.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900"/>
        <w:gridCol w:w="19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Planta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Ubicación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Departamentos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Puntos de red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Planta Capital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Ciudad Autónoma de Buenos Aires (Gerencia)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Planta Provincia I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Provincia de Buenos Aires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560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Planta Provincia II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Provincia de Buenos Aires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604</w:t>
            </w:r>
          </w:p>
        </w:tc>
      </w:tr>
      <w:tr>
        <w:tc>
          <w:tcPr>
            <w:tcW w:type="dxa" w:w="7300"/>
            <w:gridSpan w:val="3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(1 sucursal · 3 plantas)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1218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C00000"/>
          <w:sz w:val="28"/>
          <w:szCs w:val="28"/>
        </w:rPr>
        <w:t xml:space="preserve">2. </w:t>
      </w: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Distribución de equipamiento por departamento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496"/>
          <w:sz w:val="23"/>
          <w:szCs w:val="23"/>
        </w:rPr>
        <w:t xml:space="preserve">2.1  Planta Capital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600"/>
        <w:gridCol w:w="1500"/>
        <w:gridCol w:w="700"/>
        <w:gridCol w:w="75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4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Departamento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Dimensiones (m)</w:t>
            </w:r>
          </w:p>
        </w:tc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PCs</w:t>
            </w:r>
          </w:p>
        </w:tc>
        <w:tc>
          <w:tcPr>
            <w:tcW w:type="dxa" w:w="7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Tel. IP</w:t>
            </w:r>
          </w:p>
        </w:tc>
        <w:tc>
          <w:tcPr>
            <w:tcW w:type="dxa" w:w="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Imp. red</w:t>
            </w:r>
          </w:p>
        </w:tc>
        <w:tc>
          <w:tcPr>
            <w:tcW w:type="dxa" w:w="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Plotters</w:t>
            </w:r>
          </w:p>
        </w:tc>
        <w:tc>
          <w:tcPr>
            <w:tcW w:type="dxa" w:w="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Imp. 3D</w:t>
            </w:r>
          </w:p>
        </w:tc>
        <w:tc>
          <w:tcPr>
            <w:tcW w:type="dxa" w:w="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Cám. IP</w:t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Gerencia de Producción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14,5 × 4,0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50"/>
            <w:gridSpan w:val="3"/>
            <w:shd w:fill="2E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Subtotal — Planta Capital</w:t>
            </w:r>
          </w:p>
        </w:tc>
        <w:tc>
          <w:tcPr>
            <w:tcW w:type="dxa" w:w="700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49</w:t>
            </w:r>
          </w:p>
        </w:tc>
        <w:tc>
          <w:tcPr>
            <w:tcW w:type="dxa" w:w="750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49</w:t>
            </w:r>
          </w:p>
        </w:tc>
        <w:tc>
          <w:tcPr>
            <w:tcW w:type="dxa" w:w="800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496"/>
          <w:sz w:val="23"/>
          <w:szCs w:val="23"/>
        </w:rPr>
        <w:t xml:space="preserve">2.2  Planta Provincia 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600"/>
        <w:gridCol w:w="1500"/>
        <w:gridCol w:w="700"/>
        <w:gridCol w:w="75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4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Departamento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Dimensiones (m)</w:t>
            </w:r>
          </w:p>
        </w:tc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PCs</w:t>
            </w:r>
          </w:p>
        </w:tc>
        <w:tc>
          <w:tcPr>
            <w:tcW w:type="dxa" w:w="7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Tel. IP</w:t>
            </w:r>
          </w:p>
        </w:tc>
        <w:tc>
          <w:tcPr>
            <w:tcW w:type="dxa" w:w="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Imp. red</w:t>
            </w:r>
          </w:p>
        </w:tc>
        <w:tc>
          <w:tcPr>
            <w:tcW w:type="dxa" w:w="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Plotters</w:t>
            </w:r>
          </w:p>
        </w:tc>
        <w:tc>
          <w:tcPr>
            <w:tcW w:type="dxa" w:w="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Imp. 3D</w:t>
            </w:r>
          </w:p>
        </w:tc>
        <w:tc>
          <w:tcPr>
            <w:tcW w:type="dxa" w:w="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Cám. IP</w:t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Hilandería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19,6 × 4,0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Tejeduría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23,4 × 17,0</w:t>
            </w:r>
          </w:p>
        </w:tc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Tintorería y Acabados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20,7 × 3,1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Diseño Textil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24,8 × 19,7</w:t>
            </w:r>
          </w:p>
        </w:tc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 de Calidad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10,7 × 25,5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Mantenimiento Industrial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9,2 × 6,1</w:t>
            </w:r>
          </w:p>
        </w:tc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Almacén de Materia Prima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5,3 × 10,4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Depósito de Prod. Terminados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28,7 × 13,1</w:t>
            </w:r>
          </w:p>
        </w:tc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Logística y Despacho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29,7 × 17,6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Ventas Mayoristas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10,2 × 20,5</w:t>
            </w:r>
          </w:p>
        </w:tc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50"/>
            <w:gridSpan w:val="3"/>
            <w:shd w:fill="2E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Subtotal — Planta Provincia I</w:t>
            </w:r>
          </w:p>
        </w:tc>
        <w:tc>
          <w:tcPr>
            <w:tcW w:type="dxa" w:w="700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503</w:t>
            </w:r>
          </w:p>
        </w:tc>
        <w:tc>
          <w:tcPr>
            <w:tcW w:type="dxa" w:w="750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503</w:t>
            </w:r>
          </w:p>
        </w:tc>
        <w:tc>
          <w:tcPr>
            <w:tcW w:type="dxa" w:w="800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17</w:t>
            </w:r>
          </w:p>
        </w:tc>
        <w:tc>
          <w:tcPr>
            <w:tcW w:type="dxa" w:w="800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30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496"/>
          <w:sz w:val="23"/>
          <w:szCs w:val="23"/>
        </w:rPr>
        <w:t xml:space="preserve">2.3  Planta Provincia II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600"/>
        <w:gridCol w:w="1500"/>
        <w:gridCol w:w="700"/>
        <w:gridCol w:w="75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4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Departamento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Dimensiones (m)</w:t>
            </w:r>
          </w:p>
        </w:tc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PCs</w:t>
            </w:r>
          </w:p>
        </w:tc>
        <w:tc>
          <w:tcPr>
            <w:tcW w:type="dxa" w:w="7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Tel. IP</w:t>
            </w:r>
          </w:p>
        </w:tc>
        <w:tc>
          <w:tcPr>
            <w:tcW w:type="dxa" w:w="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Imp. red</w:t>
            </w:r>
          </w:p>
        </w:tc>
        <w:tc>
          <w:tcPr>
            <w:tcW w:type="dxa" w:w="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Plotters</w:t>
            </w:r>
          </w:p>
        </w:tc>
        <w:tc>
          <w:tcPr>
            <w:tcW w:type="dxa" w:w="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Imp. 3D</w:t>
            </w:r>
          </w:p>
        </w:tc>
        <w:tc>
          <w:tcPr>
            <w:tcW w:type="dxa" w:w="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Cám. IP</w:t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Comercio Exterior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25,3 × 23,8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Compras y Suministros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12,0 × 27,5</w:t>
            </w:r>
          </w:p>
        </w:tc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Recursos Humanos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26,4 × 9,3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Administración y Contabilidad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22,4 × 20,7</w:t>
            </w:r>
          </w:p>
        </w:tc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Seguridad e Higiene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19,3 × 14,6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Sistemas e IT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22,1 × 5,2</w:t>
            </w:r>
          </w:p>
        </w:tc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Investigación y Desarrollo (I+D)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3,2 × 21,5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Atención al Cliente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26,0 × 3,5</w:t>
            </w:r>
          </w:p>
        </w:tc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7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Gestión Ambiental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19,2 × 8,4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550"/>
            <w:gridSpan w:val="3"/>
            <w:shd w:fill="2E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Subtotal — Planta Provincia II</w:t>
            </w:r>
          </w:p>
        </w:tc>
        <w:tc>
          <w:tcPr>
            <w:tcW w:type="dxa" w:w="700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558</w:t>
            </w:r>
          </w:p>
        </w:tc>
        <w:tc>
          <w:tcPr>
            <w:tcW w:type="dxa" w:w="750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558</w:t>
            </w:r>
          </w:p>
        </w:tc>
        <w:tc>
          <w:tcPr>
            <w:tcW w:type="dxa" w:w="800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shd w:fill="2E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C00000"/>
          <w:sz w:val="28"/>
          <w:szCs w:val="28"/>
        </w:rPr>
        <w:t xml:space="preserve">3. </w:t>
      </w: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Consolidado de dispositivos y puntos de red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262626"/>
          <w:sz w:val="20"/>
          <w:szCs w:val="20"/>
        </w:rPr>
        <w:t xml:space="preserve">El teléfono IP empresarial funciona como intermediario: el switch se conecta al teléfono y la PC se conecta al puerto del teléfono. Por lo tanto, cada puesto de trabajo (PC + teléfono IP) comparte un único punto de red cableado.</w:t>
      </w:r>
    </w:p>
    <w:tbl>
      <w:tblPr>
        <w:tblW w:type="dxa" w:w="9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150"/>
        <w:gridCol w:w="1150"/>
        <w:gridCol w:w="1150"/>
        <w:gridCol w:w="1150"/>
        <w:gridCol w:w="145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Planta</w:t>
            </w:r>
          </w:p>
        </w:tc>
        <w:tc>
          <w:tcPr>
            <w:tcW w:type="dxa" w:w="1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Puestos (PC+Tel.)</w:t>
            </w:r>
          </w:p>
        </w:tc>
        <w:tc>
          <w:tcPr>
            <w:tcW w:type="dxa" w:w="1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Imp. red</w:t>
            </w:r>
          </w:p>
        </w:tc>
        <w:tc>
          <w:tcPr>
            <w:tcW w:type="dxa" w:w="1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Plotters</w:t>
            </w:r>
          </w:p>
        </w:tc>
        <w:tc>
          <w:tcPr>
            <w:tcW w:type="dxa" w:w="1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Imp. 3D</w:t>
            </w:r>
          </w:p>
        </w:tc>
        <w:tc>
          <w:tcPr>
            <w:tcW w:type="dxa" w:w="11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Cám. IP</w:t>
            </w:r>
          </w:p>
        </w:tc>
        <w:tc>
          <w:tcPr>
            <w:tcW w:type="dxa" w:w="14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Total puntos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Planta Capital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Planta Provincia I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503</w:t>
            </w:r>
          </w:p>
        </w:tc>
        <w:tc>
          <w:tcPr>
            <w:tcW w:type="dxa" w:w="1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1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4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560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Planta Provincia II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558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604</w:t>
            </w:r>
          </w:p>
        </w:tc>
      </w:tr>
      <w:t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1110</w:t>
            </w:r>
          </w:p>
        </w:tc>
        <w:tc>
          <w:tcPr>
            <w:tcW w:type="dxa" w:w="11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20</w:t>
            </w:r>
          </w:p>
        </w:tc>
        <w:tc>
          <w:tcPr>
            <w:tcW w:type="dxa" w:w="11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1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26</w:t>
            </w:r>
          </w:p>
        </w:tc>
        <w:tc>
          <w:tcPr>
            <w:tcW w:type="dxa" w:w="11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60</w:t>
            </w:r>
          </w:p>
        </w:tc>
        <w:tc>
          <w:tcPr>
            <w:tcW w:type="dxa" w:w="14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1218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496"/>
          <w:sz w:val="23"/>
          <w:szCs w:val="23"/>
        </w:rPr>
        <w:t xml:space="preserve">4. Infraestructura y arquitectura de red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62626"/>
          <w:sz w:val="20"/>
          <w:szCs w:val="20"/>
        </w:rPr>
        <w:t xml:space="preserve">Cada planta constituye un sitio físicamente independiente, por lo que cuenta con su propia arquitectura jerárquica local (Router/Firewall → Core → Switches de acceso → Puestos/Dispositivos), distribuida en uno o más racks según su tamaño:</w:t>
      </w:r>
    </w:p>
    <w:tbl>
      <w:tblPr>
        <w:tblW w:type="dxa" w:w="10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2200"/>
        <w:gridCol w:w="1500"/>
        <w:gridCol w:w="1900"/>
        <w:gridCol w:w="155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Planta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Racks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Switches acceso PoE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Switch core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Router/Firewall</w:t>
            </w:r>
          </w:p>
        </w:tc>
        <w:tc>
          <w:tcPr>
            <w:tcW w:type="dxa" w:w="15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Puntos de red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Planta Capital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Planta Provincia I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5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560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Planta Provincia II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604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32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55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1218</w:t>
            </w:r>
          </w:p>
        </w:tc>
      </w:tr>
    </w:tbl>
    <w:p>
      <w:pPr>
        <w:spacing w:before="200"/>
      </w:pP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62626"/>
          <w:sz w:val="20"/>
          <w:szCs w:val="20"/>
        </w:rPr>
        <w:t xml:space="preserve">Interconexión entre plantas (WAN): dado que Capital y Provincia son ubicaciones geográficamente distintas, ya no es posible interconectar los sitios con fibra óptica de cableado estructurado (limitada a 90-100 m). Se plantean dos enlaces site-to-site desde cada planta de Provincia hacia Planta Capital: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▪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VPN site-to-site sobre Internet (IPsec/WireGuard) entre los routers/firewall de cada planta: opción de menor costo, recomendada para tráfico administrativo y de gestión.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▪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Alternativa: enlace dedicado / MPLS contratado a un proveedor, con mayor costo pero ancho de banda y latencia garantizados, recomendable si se requieren aplicaciones en tiempo real entre plantas.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262626"/>
          <w:sz w:val="20"/>
          <w:szCs w:val="20"/>
        </w:rPr>
        <w:t xml:space="preserve">El costo del circuito WAN en sí (abono mensual del enlace) es un gasto operativo (OPEX) del proveedor de servicios y no forma parte de este presupuesto de materiales y mano de obra; sí se incluye la configuración de los túneles/equipos (ver sección 6).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C00000"/>
          <w:sz w:val="28"/>
          <w:szCs w:val="28"/>
        </w:rPr>
        <w:t xml:space="preserve">5. </w:t>
      </w: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Presupuesto de materiales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62626"/>
          <w:sz w:val="20"/>
          <w:szCs w:val="20"/>
        </w:rPr>
        <w:t xml:space="preserve">Precios unitarios de referencia según Mercado Libre (mismos valores que el presupuesto original). Las cantidades ahora reflejan la distribución en tres plantas: un router/firewall y un switch de core por planta, racks y switches de acceso dimensionados por sitio, y fibra/SFP solo donde hay más de un rack.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00"/>
        <w:gridCol w:w="1900"/>
        <w:gridCol w:w="2200"/>
      </w:tblGrid>
      <w:tr>
        <w:trPr>
          <w:tblHeader/>
        </w:trPr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Cantidad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Precio unitario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Subtotal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Cable UTP Cat6, bobina 305 m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$186.826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$35.870.592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Switch TP-Link TL-SG3452P, 48 PoE+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$979.668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$31.349.376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Switch de core TP-Link TL-SG3452, 48 puertos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$592.500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$1.777.500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Patch panel Cat6 24 puertos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$44.999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$2.384.947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Rack 42U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$1.162.700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$8.138.900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UPS Online 3000 VA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$915.930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$6.411.510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Router/Firewall MikroTik RB5009 (1 por planta)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$460.210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$1.380.630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Módulos SFP 1 Gb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$39.658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$317.264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Fibra óptica 6 hilos, 1 km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$533.950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$1.067.900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Keystone Cat6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1.218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$7.300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$8.891.400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Faceplate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1.218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$2.063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$2.512.734</w:t>
            </w:r>
          </w:p>
        </w:tc>
      </w:tr>
      <w:tr>
        <w:tc>
          <w:tcPr>
            <w:tcW w:type="dxa" w:w="3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Patch cord Cat6 2 m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2.328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$2.900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$6.751.200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Organizadores de cables 1U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$12.623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$328.198</w:t>
            </w:r>
          </w:p>
        </w:tc>
      </w:tr>
      <w:tr>
        <w:tc>
          <w:tcPr>
            <w:tcW w:type="dxa" w:w="6800"/>
            <w:gridSpan w:val="3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SUBTOTAL MATERIALES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$107.182.151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46C6E"/>
          <w:sz w:val="28"/>
          <w:szCs w:val="28"/>
        </w:rPr>
        <w:t xml:space="preserve">6. </w:t>
      </w: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Mano de obra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62626"/>
          <w:sz w:val="20"/>
          <w:szCs w:val="20"/>
        </w:rPr>
        <w:t xml:space="preserve">Costo de instalación, configuración y puesta en marcha de la red en las tres plantas, incluyendo certificación de puntos, armado de racks, configuración de equipos activos, enlaces de fibra interna, enlaces WAN entre plantas y dirección de obra.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00"/>
        <w:gridCol w:w="1900"/>
        <w:gridCol w:w="2200"/>
      </w:tblGrid>
      <w:tr>
        <w:trPr>
          <w:tblHeader/>
        </w:trPr>
        <w:tc>
          <w:tcPr>
            <w:tcW w:type="dxa" w:w="3600"/>
            <w:shd w:fill="146C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type="dxa" w:w="1300"/>
            <w:shd w:fill="146C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Cantidad</w:t>
            </w:r>
          </w:p>
        </w:tc>
        <w:tc>
          <w:tcPr>
            <w:tcW w:type="dxa" w:w="1900"/>
            <w:shd w:fill="146C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Precio unitario</w:t>
            </w:r>
          </w:p>
        </w:tc>
        <w:tc>
          <w:tcPr>
            <w:tcW w:type="dxa" w:w="2200"/>
            <w:shd w:fill="146C6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Subtotal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Instalación, conectorización y certificación por punto de red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1.218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$18.500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$22.533.000</w:t>
            </w:r>
          </w:p>
        </w:tc>
      </w:tr>
      <w:tr>
        <w:tc>
          <w:tcPr>
            <w:tcW w:type="dxa" w:w="3600"/>
            <w:shd w:fill="DA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Armado, cableado vertical y etiquetado de racks</w:t>
            </w:r>
          </w:p>
        </w:tc>
        <w:tc>
          <w:tcPr>
            <w:tcW w:type="dxa" w:w="1300"/>
            <w:shd w:fill="DA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shd w:fill="DA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$185.000</w:t>
            </w:r>
          </w:p>
        </w:tc>
        <w:tc>
          <w:tcPr>
            <w:tcW w:type="dxa" w:w="2200"/>
            <w:shd w:fill="DA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$1.295.000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Configuración de equipos activos (switches, core y routers)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$45.000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$1.710.000</w:t>
            </w:r>
          </w:p>
        </w:tc>
      </w:tr>
      <w:tr>
        <w:tc>
          <w:tcPr>
            <w:tcW w:type="dxa" w:w="3600"/>
            <w:shd w:fill="DA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Tendido y fusionado de fibra óptica entre racks</w:t>
            </w:r>
          </w:p>
        </w:tc>
        <w:tc>
          <w:tcPr>
            <w:tcW w:type="dxa" w:w="1300"/>
            <w:shd w:fill="DA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shd w:fill="DA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$95.000</w:t>
            </w:r>
          </w:p>
        </w:tc>
        <w:tc>
          <w:tcPr>
            <w:tcW w:type="dxa" w:w="2200"/>
            <w:shd w:fill="DA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$380.000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Configuración y prueba de enlaces WAN site-to-site entre plantas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$220.000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$440.000</w:t>
            </w:r>
          </w:p>
        </w:tc>
      </w:tr>
      <w:tr>
        <w:tc>
          <w:tcPr>
            <w:tcW w:type="dxa" w:w="3600"/>
            <w:shd w:fill="DA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Puesta en marcha, pruebas integrales y documentación (as-built)</w:t>
            </w:r>
          </w:p>
        </w:tc>
        <w:tc>
          <w:tcPr>
            <w:tcW w:type="dxa" w:w="1300"/>
            <w:shd w:fill="DA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shd w:fill="DA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$850.000</w:t>
            </w:r>
          </w:p>
        </w:tc>
        <w:tc>
          <w:tcPr>
            <w:tcW w:type="dxa" w:w="2200"/>
            <w:shd w:fill="DA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$850.000</w:t>
            </w:r>
          </w:p>
        </w:tc>
      </w:tr>
      <w:tr>
        <w:tc>
          <w:tcPr>
            <w:tcW w:type="dxa" w:w="3600"/>
            <w:shd w:fill="DA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Dirección de obra y gestión de proyecto (10% del subtotal de materiales)</w:t>
            </w:r>
          </w:p>
        </w:tc>
        <w:tc>
          <w:tcPr>
            <w:tcW w:type="dxa" w:w="1300"/>
            <w:shd w:fill="DA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shd w:fill="DA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2200"/>
            <w:shd w:fill="DA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$10.718.215</w:t>
            </w:r>
          </w:p>
        </w:tc>
      </w:tr>
      <w:tr>
        <w:tc>
          <w:tcPr>
            <w:tcW w:type="dxa" w:w="6800"/>
            <w:gridSpan w:val="3"/>
            <w:shd w:fill="146C6E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SUBTOTAL MANO DE OBRA</w:t>
            </w:r>
          </w:p>
        </w:tc>
        <w:tc>
          <w:tcPr>
            <w:tcW w:type="dxa" w:w="2200"/>
            <w:shd w:fill="146C6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$37.926.215</w:t>
            </w:r>
          </w:p>
        </w:tc>
      </w:tr>
    </w:tbl>
    <w:p>
      <w:pPr>
        <w:spacing w:before="400"/>
      </w:pP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C00000"/>
          <w:sz w:val="28"/>
          <w:szCs w:val="28"/>
        </w:rPr>
        <w:t xml:space="preserve">7. </w:t>
      </w: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Detalle de cálculo — materiales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› Distribución de plantas</w:t>
      </w:r>
    </w:p>
    <w:p>
      <w:pPr>
        <w:spacing w:after="60"/>
        <w:ind w:left="260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Gerencia de Producción (49 puestos) se ubica en Planta Capital. Los 19 departamentos restantes se reparten de forma equivalente entre las dos plantas de provincia: 10 departamentos (503 puestos) en Planta Provincia I y 9 departamentos (558 puestos) en Planta Provincia II.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› Racks por planta</w:t>
      </w:r>
    </w:p>
    <w:p>
      <w:pPr>
        <w:spacing w:after="60"/>
        <w:ind w:left="260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Se mantiene la relación del presupuesto original (6 racks cada 1.218 puntos ≈ 203 puntos/rack), con un mínimo de 1 rack por planta al tratarse de sitios físicamente independientes.</w:t>
      </w:r>
    </w:p>
    <w:p>
      <w:pPr>
        <w:spacing w:after="60"/>
        <w:ind w:left="260"/>
      </w:pPr>
      <w:r>
        <w:rPr>
          <w:rFonts w:ascii="Calibri" w:cs="Calibri" w:eastAsia="Calibri" w:hAnsi="Calibri"/>
          <w:b/>
          <w:bCs/>
          <w:color w:val="1E7145"/>
          <w:sz w:val="19"/>
          <w:szCs w:val="19"/>
        </w:rPr>
        <w:t xml:space="preserve">Capital: 1  ·  Provincia I: 3  ·  Provincia II: 3  →  Total: 7 racks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› Switches de acceso PoE+ (48 puertos)</w:t>
      </w:r>
    </w:p>
    <w:p>
      <w:pPr>
        <w:spacing w:after="60"/>
        <w:ind w:left="260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Se calculan con 20% de margen de crecimiento sobre los puntos de cada planta: ⌈puntos × 1,2 / 48⌉.</w:t>
      </w:r>
    </w:p>
    <w:p>
      <w:pPr>
        <w:spacing w:after="60"/>
        <w:ind w:left="260"/>
      </w:pPr>
      <w:r>
        <w:rPr>
          <w:rFonts w:ascii="Calibri" w:cs="Calibri" w:eastAsia="Calibri" w:hAnsi="Calibri"/>
          <w:b/>
          <w:bCs/>
          <w:color w:val="1E7145"/>
          <w:sz w:val="19"/>
          <w:szCs w:val="19"/>
        </w:rPr>
        <w:t xml:space="preserve">Capital: 2  ·  Provincia I: 14  ·  Provincia II: 16  →  Total: 32 switches (1536 puertos)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› Switch de core y Router/Firewall</w:t>
      </w:r>
    </w:p>
    <w:p>
      <w:pPr>
        <w:spacing w:after="60"/>
        <w:ind w:left="260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Al ser plantas geográficamente independientes, cada una requiere su propio switch de core y su propio router/firewall como borde de red (antes eran 2 y 1 respectivamente para un único edificio).</w:t>
      </w:r>
    </w:p>
    <w:p>
      <w:pPr>
        <w:spacing w:after="60"/>
        <w:ind w:left="260"/>
      </w:pPr>
      <w:r>
        <w:rPr>
          <w:rFonts w:ascii="Calibri" w:cs="Calibri" w:eastAsia="Calibri" w:hAnsi="Calibri"/>
          <w:b/>
          <w:bCs/>
          <w:color w:val="1E7145"/>
          <w:sz w:val="19"/>
          <w:szCs w:val="19"/>
        </w:rPr>
        <w:t xml:space="preserve">3 switches de core + 3 routers/firewall (1 de cada uno por planta)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› Patch panels 24 puertos</w:t>
      </w:r>
    </w:p>
    <w:p>
      <w:pPr>
        <w:spacing w:after="60"/>
        <w:ind w:left="260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⌈puntos de la planta / 24⌉ por sitio.</w:t>
      </w:r>
    </w:p>
    <w:p>
      <w:pPr>
        <w:spacing w:after="60"/>
        <w:ind w:left="260"/>
      </w:pPr>
      <w:r>
        <w:rPr>
          <w:rFonts w:ascii="Calibri" w:cs="Calibri" w:eastAsia="Calibri" w:hAnsi="Calibri"/>
          <w:b/>
          <w:bCs/>
          <w:color w:val="1E7145"/>
          <w:sz w:val="19"/>
          <w:szCs w:val="19"/>
        </w:rPr>
        <w:t xml:space="preserve">Capital: 3  ·  Provincia I: 24  ·  Provincia II: 26  →  Total: 53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› UPS y organizadores 1U</w:t>
      </w:r>
    </w:p>
    <w:p>
      <w:pPr>
        <w:spacing w:after="60"/>
        <w:ind w:left="260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1 UPS por rack. Organizadores proporcionales a la cantidad de racks de cada planta.</w:t>
      </w:r>
    </w:p>
    <w:p>
      <w:pPr>
        <w:spacing w:after="60"/>
        <w:ind w:left="260"/>
      </w:pPr>
      <w:r>
        <w:rPr>
          <w:rFonts w:ascii="Calibri" w:cs="Calibri" w:eastAsia="Calibri" w:hAnsi="Calibri"/>
          <w:b/>
          <w:bCs/>
          <w:color w:val="1E7145"/>
          <w:sz w:val="19"/>
          <w:szCs w:val="19"/>
        </w:rPr>
        <w:t xml:space="preserve">UPS: 7  ·  Organizadores: 26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› Fibra óptica y módulos SFP</w:t>
      </w:r>
    </w:p>
    <w:p>
      <w:pPr>
        <w:spacing w:after="60"/>
        <w:ind w:left="260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Solo las plantas con más de 1 rack requieren enlaces internos de fibra entre racks (2 SFP por enlace). Planta Capital, al tener un único rack, no requiere fibra interna.</w:t>
      </w:r>
    </w:p>
    <w:p>
      <w:pPr>
        <w:spacing w:after="60"/>
        <w:ind w:left="260"/>
      </w:pPr>
      <w:r>
        <w:rPr>
          <w:rFonts w:ascii="Calibri" w:cs="Calibri" w:eastAsia="Calibri" w:hAnsi="Calibri"/>
          <w:b/>
          <w:bCs/>
          <w:color w:val="1E7145"/>
          <w:sz w:val="19"/>
          <w:szCs w:val="19"/>
        </w:rPr>
        <w:t xml:space="preserve">Provincia I: 4 SFP (2 enlaces)  ·  Provincia II: 4 SFP (2 enlaces)  →  Total: 8 SFP, 2 bobinas de fibra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› Keystone, faceplate y patch cord</w:t>
      </w:r>
    </w:p>
    <w:p>
      <w:pPr>
        <w:spacing w:after="60"/>
        <w:ind w:left="260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1 keystone y 1 faceplate por cada punto de red. Patch cord: 2 por puesto de trabajo (PC + teléfono) + 1 por cada dispositivo independiente (impresoras, plotters, 3D, cámaras) de cada planta.</w:t>
      </w:r>
    </w:p>
    <w:p>
      <w:pPr>
        <w:spacing w:after="60"/>
        <w:ind w:left="260"/>
      </w:pPr>
      <w:r>
        <w:rPr>
          <w:rFonts w:ascii="Calibri" w:cs="Calibri" w:eastAsia="Calibri" w:hAnsi="Calibri"/>
          <w:b/>
          <w:bCs/>
          <w:color w:val="1E7145"/>
          <w:sz w:val="19"/>
          <w:szCs w:val="19"/>
        </w:rPr>
        <w:t xml:space="preserve">Keystone / Faceplate: 1.218 c/u   |   Patch cord: 2.328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› Cable UTP Cat6 (bobinas de 305 m)</w:t>
      </w:r>
    </w:p>
    <w:p>
      <w:pPr>
        <w:spacing w:after="60"/>
        <w:ind w:left="260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Se distribuye el total de 192 bobinas de forma proporcional a la cantidad de puntos de red de cada planta.</w:t>
      </w:r>
    </w:p>
    <w:p>
      <w:pPr>
        <w:spacing w:after="60"/>
        <w:ind w:left="260"/>
      </w:pPr>
      <w:r>
        <w:rPr>
          <w:rFonts w:ascii="Calibri" w:cs="Calibri" w:eastAsia="Calibri" w:hAnsi="Calibri"/>
          <w:b/>
          <w:bCs/>
          <w:color w:val="1E7145"/>
          <w:sz w:val="19"/>
          <w:szCs w:val="19"/>
        </w:rPr>
        <w:t xml:space="preserve">Capital: 9  ·  Provincia I: 88  ·  Provincia II: 95  →  Total: 192 bobinas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46C6E"/>
          <w:sz w:val="28"/>
          <w:szCs w:val="28"/>
        </w:rPr>
        <w:t xml:space="preserve">8. </w:t>
      </w: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Detalle de cálculo — mano de obra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46C6E"/>
          <w:sz w:val="21"/>
          <w:szCs w:val="21"/>
        </w:rPr>
        <w:t xml:space="preserve">› Instalación y certificación por punto</w:t>
      </w:r>
    </w:p>
    <w:p>
      <w:pPr>
        <w:spacing w:after="60"/>
        <w:ind w:left="260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Incluye tendido de cable, conectorización en ambos extremos, etiquetado y certificación con tester Cat6 de cada uno de los puntos de red.</w:t>
      </w:r>
    </w:p>
    <w:p>
      <w:pPr>
        <w:spacing w:after="60"/>
        <w:ind w:left="260"/>
      </w:pPr>
      <w:r>
        <w:rPr>
          <w:rFonts w:ascii="Calibri" w:cs="Calibri" w:eastAsia="Calibri" w:hAnsi="Calibri"/>
          <w:b/>
          <w:bCs/>
          <w:color w:val="1E7145"/>
          <w:sz w:val="19"/>
          <w:szCs w:val="19"/>
        </w:rPr>
        <w:t xml:space="preserve">1.218 × $18.500 = $22.533.000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46C6E"/>
          <w:sz w:val="21"/>
          <w:szCs w:val="21"/>
        </w:rPr>
        <w:t xml:space="preserve">› Armado de racks</w:t>
      </w:r>
    </w:p>
    <w:p>
      <w:pPr>
        <w:spacing w:after="60"/>
        <w:ind w:left="260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Montaje físico, cableado vertical y organización interna de cada rack.</w:t>
      </w:r>
    </w:p>
    <w:p>
      <w:pPr>
        <w:spacing w:after="60"/>
        <w:ind w:left="260"/>
      </w:pPr>
      <w:r>
        <w:rPr>
          <w:rFonts w:ascii="Calibri" w:cs="Calibri" w:eastAsia="Calibri" w:hAnsi="Calibri"/>
          <w:b/>
          <w:bCs/>
          <w:color w:val="1E7145"/>
          <w:sz w:val="19"/>
          <w:szCs w:val="19"/>
        </w:rPr>
        <w:t xml:space="preserve">7 × $185.000 = $1.295.000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46C6E"/>
          <w:sz w:val="21"/>
          <w:szCs w:val="21"/>
        </w:rPr>
        <w:t xml:space="preserve">› Configuración de equipos activos</w:t>
      </w:r>
    </w:p>
    <w:p>
      <w:pPr>
        <w:spacing w:after="60"/>
        <w:ind w:left="260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Puesta a punto de VLANs, PoE, alta disponibilidad y pruebas de switches de acceso, switches de core y routers/firewall.</w:t>
      </w:r>
    </w:p>
    <w:p>
      <w:pPr>
        <w:spacing w:after="60"/>
        <w:ind w:left="260"/>
      </w:pPr>
      <w:r>
        <w:rPr>
          <w:rFonts w:ascii="Calibri" w:cs="Calibri" w:eastAsia="Calibri" w:hAnsi="Calibri"/>
          <w:b/>
          <w:bCs/>
          <w:color w:val="1E7145"/>
          <w:sz w:val="19"/>
          <w:szCs w:val="19"/>
        </w:rPr>
        <w:t xml:space="preserve">38 × $45.000 = $1.710.000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46C6E"/>
          <w:sz w:val="21"/>
          <w:szCs w:val="21"/>
        </w:rPr>
        <w:t xml:space="preserve">› Fibra óptica entre racks</w:t>
      </w:r>
    </w:p>
    <w:p>
      <w:pPr>
        <w:spacing w:after="60"/>
        <w:ind w:left="260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Tendido y fusionado de los enlaces de fibra internos en Provincia I y Provincia II.</w:t>
      </w:r>
    </w:p>
    <w:p>
      <w:pPr>
        <w:spacing w:after="60"/>
        <w:ind w:left="260"/>
      </w:pPr>
      <w:r>
        <w:rPr>
          <w:rFonts w:ascii="Calibri" w:cs="Calibri" w:eastAsia="Calibri" w:hAnsi="Calibri"/>
          <w:b/>
          <w:bCs/>
          <w:color w:val="1E7145"/>
          <w:sz w:val="19"/>
          <w:szCs w:val="19"/>
        </w:rPr>
        <w:t xml:space="preserve">4 enlaces × $95.000 = $380.000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46C6E"/>
          <w:sz w:val="21"/>
          <w:szCs w:val="21"/>
        </w:rPr>
        <w:t xml:space="preserve">› Enlaces WAN entre plantas</w:t>
      </w:r>
    </w:p>
    <w:p>
      <w:pPr>
        <w:spacing w:after="60"/>
        <w:ind w:left="260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Configuración y prueba de los túneles site-to-site (VPN) que interconectan cada planta de provincia con Planta Capital. El costo del enlace/circuito en sí (servicio de Internet o línea dedicada) es un gasto operativo (OPEX) y no está incluido en este presupuesto de materiales y mano de obra.</w:t>
      </w:r>
    </w:p>
    <w:p>
      <w:pPr>
        <w:spacing w:after="60"/>
        <w:ind w:left="260"/>
      </w:pPr>
      <w:r>
        <w:rPr>
          <w:rFonts w:ascii="Calibri" w:cs="Calibri" w:eastAsia="Calibri" w:hAnsi="Calibri"/>
          <w:b/>
          <w:bCs/>
          <w:color w:val="1E7145"/>
          <w:sz w:val="19"/>
          <w:szCs w:val="19"/>
        </w:rPr>
        <w:t xml:space="preserve">2 enlaces × $220.000 = $440.000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46C6E"/>
          <w:sz w:val="21"/>
          <w:szCs w:val="21"/>
        </w:rPr>
        <w:t xml:space="preserve">› Dirección de obra</w:t>
      </w:r>
    </w:p>
    <w:p>
      <w:pPr>
        <w:spacing w:after="60"/>
        <w:ind w:left="260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Gestión de proyecto, coordinación de las tres plantas y control de calidad, estimada en 10% del subtotal de materiales.</w:t>
      </w:r>
    </w:p>
    <w:p>
      <w:pPr>
        <w:spacing w:after="60"/>
        <w:ind w:left="260"/>
      </w:pPr>
      <w:r>
        <w:rPr>
          <w:rFonts w:ascii="Calibri" w:cs="Calibri" w:eastAsia="Calibri" w:hAnsi="Calibri"/>
          <w:b/>
          <w:bCs/>
          <w:color w:val="1E7145"/>
          <w:sz w:val="19"/>
          <w:szCs w:val="19"/>
        </w:rPr>
        <w:t xml:space="preserve">10% × $107.182.151 = $10.718.215</w:t>
      </w:r>
    </w:p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200"/>
      </w:tblGrid>
      <w:tr>
        <w:tc>
          <w:tcPr>
            <w:tcW w:type="dxa" w:w="6800"/>
            <w:shd w:fill="FBEE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Subtotal materiales</w:t>
            </w:r>
          </w:p>
        </w:tc>
        <w:tc>
          <w:tcPr>
            <w:tcW w:type="dxa" w:w="2200"/>
            <w:shd w:fill="FBEE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$107.182.151</w:t>
            </w:r>
          </w:p>
        </w:tc>
      </w:tr>
      <w:tr>
        <w:tc>
          <w:tcPr>
            <w:tcW w:type="dxa" w:w="6800"/>
            <w:shd w:fill="DA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Subtotal mano de obra</w:t>
            </w:r>
          </w:p>
        </w:tc>
        <w:tc>
          <w:tcPr>
            <w:tcW w:type="dxa" w:w="2200"/>
            <w:shd w:fill="DA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$37.926.215</w:t>
            </w:r>
          </w:p>
        </w:tc>
      </w:tr>
      <w:tr>
        <w:tc>
          <w:tcPr>
            <w:tcW w:type="dxa" w:w="680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TOTAL GENERAL DEL PROYECTO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$145.108.366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Presupuesto de Red e Infraestructura Tecnológica</w:t>
    </w:r>
    <w:r>
      <w:rPr>
        <w:rFonts w:ascii="Calibri" w:cs="Calibri" w:eastAsia="Calibri" w:hAnsi="Calibri"/>
        <w:color w:val="595959"/>
        <w:sz w:val="16"/>
        <w:szCs w:val="16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2026-09-08T20:36:05.430Z</dcterms:created>
  <dcterms:modified xsi:type="dcterms:W3CDTF">2026-09-08T20:36:05.432Z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