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EVALUACIÓN SUSTITUTIVA</w:t>
      </w: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863"/>
        <w:tblGridChange w:id="0">
          <w:tblGrid>
            <w:gridCol w:w="2972"/>
            <w:gridCol w:w="586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Docente 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Manuel Moscoso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4">
            <w:pPr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Carrera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Ingeniería Informática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6">
            <w:pPr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Asignatura 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Taller de Multimedios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8">
            <w:pPr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27/07/2022 a las 23:00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A">
            <w:pPr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Resultado de Aprendizaje a evaluar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highlight w:val="white"/>
                <w:rtl w:val="0"/>
              </w:rPr>
              <w:t xml:space="preserve">Establece soluciones multimediales y/o hipermediales para la implementación y elaboración de tecnologías de información y comunicación, a partir del uso de metodologías de desarrollo de software y modelos de programación, considerando responsabilidad social.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C">
            <w:pPr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Criterios de Evaluación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Construye un producto multimedia centrado en Objetivos Sociales Específicos, empleando herramientas de hosting.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Desarrolla la documentación, manuales e informes requeridos por las distintas etapas de un proyecto multimedia.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Argumenta sus ideas para aportar a una solución frente a una situación o problema.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Criterios o indicadores de evaluación (con distribución de puntajes).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Video de presentación: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Contenido propio generado, formato y artefactos utilizados para la explicación y construcción de la solución de la problemática y requerimientos entregados. (20%).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1j3xp1aoem42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Documentación del proyecto: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Desarrollo de documentación del proyecto que cumple con los requerimientos entregados (30%).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Desarrollo de Software: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Software generado que cumple con los requerimientos entregados. (50%).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Entregables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Rule="auto"/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 un documento vinculado a la “Propuesta de Solución” que correspon a un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archivo no editable con: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Portada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Documentación del proyecto.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Información de acceso público: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Link de acceso al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repositorio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Link al acceso público al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prototipo de Software desarrollado.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spacing w:after="160" w:lineRule="auto"/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Link de acceso público al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video desarrollado. 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Descripción de actividades a realizar para: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Video de presentación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Para la presentación de la solución se debe desarrollar un video que exponga breve y específicamente aspectos relevantes del trabajo desarrollado. 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Dentro de la exposición se debe considerar: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Duración no mayor 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 minutos.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Utilizar un lenguaje técnico y formal.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Debe considerar la incorporación de su cámara web para reconocer a cada estudiante.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debe realizar una presentación de  los aspectos relevantes del escenario y solución desarrollada.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debe realizar una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presentación del Software desarrollado en la problemática.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Esta presentación debe considerar la exposición de las principales características detalladas en la problemática.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debe incorporar en la presentación los diagramas desarrollados y realizar la justificación según los aspectos relevantes de la problemática.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Descripción de actividades a realizar para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: Documentación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Para el desarrollo de la documentación del proyecto se debe considerar la elaboración de una propuesta y diseño de documentación técnica que cumpla los requerimientos establecidos en la problemática planteada.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Dentro de la documentación, la cual corresponde a una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Propuesta de proyecto o solución tecnológica,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debe considerar: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del contexto y el escenario: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Un apartado del documento debe plasmar de manera específica los aspectos relevantes del escenario y el estado actual de la problemática que deben ser considerados para la elaboración de una propuesta de solución.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Requerimientos: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Un apartado del documento debe contemplar los requerimientos identificados en la problemática y clasificados como funcionales y no funcionales.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Usuarios o clientes: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Es necesaria realizar una caracterización de los usuarios presentes en la problemática. Aquí es fundamental considerar una correcta descripción junto con el alcance que tiene y las funcionalidades que puede desarrollar.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Procesos o flujos de trabajo: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 necesario realizar una correcta interpretación de los procesos de gestión de nuevos temas y publicación de contenido para su adecuada comprensión y posterior implementación.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Arquitectura de Información: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 necesario realizar el desarrollo de la Arquitectura de Información del proyecto, contemplando conceptos de jerarquización y organización de contenido, todo lo anterior con su justificación.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Descripción de actividades a realizar para: Desarrollo de prototipo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debe realizar el Desarrollo de un prototipo de Software que cumpla con los requerimientos relacionados con la problemática planteada. Para esto debe considerar las siguientes instrucciones: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Repositorio en GITHUB y publicación de prototipo: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Considerar el uso de un repositorio en GITHUB con las ramas de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main/master y desarrollo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para el trabajo. Además de debe realizar la publicación del producto final de Software para ser accedido a través de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line="259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cdvn3g3m2kn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Bienvenida, home y navegación de usuarios: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Una interfaz disponible para el usuario en la cual se pueda evidenciar el objetivo principal, características y las instrucciones vinculadas a la problemática. Además se debe considerar para la presentación del prototipo la inclusión de un menú que permite navegar por las distintas secciones.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Gestión de contenido: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debe considerar el desarrollo de una interfaz que permita la gestión de contenido según la problemática. Aquí se debe considerar la posibilidad de crear, actualizar y eliminar información.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Presentación del contenido: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Se debe trabajar en desarrollar la interfaz que permita visualizar de la manera correcta y según la problemática del contenido entregado.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Visualización en teléfonos y además en PCs: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Se debe trabajar en garantizar que el contenido se vea de manera adecuada en teléfonos siendo un valor agregado también poder mantener esto para Notebooks o PC.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Carga de contenido: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Dentro de uno de los temas de la problemática vigente es necesario realizar una carga de contenido lo que permite evidenciar cómo se verá el contenido.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Aquí debe considerar la carga de a lo menos 10 recursos vinculados a la problemática.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Publicación en internet: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Es necesaria la publicación del prototipo y que pueda ser visualizado a través de internet.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Es importante que el producto se encuentre completamente funcional. </w:t>
            </w:r>
          </w:p>
          <w:p w:rsidR="00000000" w:rsidDel="00000000" w:rsidP="00000000" w:rsidRDefault="00000000" w:rsidRPr="00000000" w14:paraId="00000051">
            <w:pPr>
              <w:ind w:firstLine="7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Aspectos formales del Desarrollo.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Considerar la utilización de HTML, CSS y Javascript para el desarrollo lo que corresponde a la apariencia.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debe crear un repositorio para el desarrollo del proyecto.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 de carácter individual.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Debe presentar un lenguaje escrito formal.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debe entregar el acceso público a la implementación con un nombre adecuado y formal.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recomienda utilizar PHP para el desarrollo de la lógica y la interacción con la capa de persistencia.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jc w:val="left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20185" w:w="1224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104777</wp:posOffset>
          </wp:positionH>
          <wp:positionV relativeFrom="paragraph">
            <wp:posOffset>-180973</wp:posOffset>
          </wp:positionV>
          <wp:extent cx="1200150" cy="51498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0150" cy="5149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