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Impact" w:cs="Impact" w:eastAsia="Impact" w:hAnsi="Impact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i w:val="1"/>
          <w:sz w:val="48"/>
          <w:szCs w:val="48"/>
          <w:u w:val="single"/>
          <w:rtl w:val="0"/>
        </w:rPr>
        <w:t xml:space="preserve">GANADERÍA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* Prosa con la problematización general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Posible variables (la variable más representativa de cada trabajo individual):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Benja: Recurso hídrico o ganado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Jorge: Sanidad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Adolfo: Mejora genética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Vicente: Contaminantes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Nicole: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Dudas: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¿Cuál es el alcance que debe tener el modelo del pre informe en los capítulos individuales del informe grupal?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¿Mi variable principal será la correcta? ¿Cuántas variables es prudente considerar en el diagrama de influencias?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(Prosa, Diagramas de Influencia, Diagramas de Flujo Nivel, Modelo Matemático y Simulación con Vensim)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Posible próxima reunión fecha tentativa: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