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jc w:val="center"/>
      </w:pPr>
      <w:r>
        <w:rPr>
          <w:rFonts w:ascii="Arial" w:hAnsi="Arial" w:eastAsia="Arial"/>
          <w:b w:val="0"/>
          <w:i w:val="0"/>
          <w:color w:val="000000"/>
          <w:sz w:val="24"/>
        </w:rPr>
        <w:t>Universidad de San Andrés</w:t>
      </w:r>
    </w:p>
    <w:p>
      <w:pPr>
        <w:spacing w:line="360" w:lineRule="auto" w:after="120"/>
        <w:jc w:val="center"/>
      </w:pPr>
      <w:r>
        <w:rPr>
          <w:rFonts w:ascii="Arial" w:hAnsi="Arial" w:eastAsia="Arial"/>
          <w:b w:val="0"/>
          <w:i w:val="0"/>
          <w:color w:val="000000"/>
          <w:sz w:val="24"/>
        </w:rPr>
        <w:t>Maestría en Inteligencia Artificial</w:t>
      </w:r>
    </w:p>
    <w:p>
      <w:pPr>
        <w:spacing w:line="360" w:lineRule="auto" w:after="120"/>
        <w:jc w:val="center"/>
      </w:pPr>
      <w:r>
        <w:rPr>
          <w:rFonts w:ascii="Arial" w:hAnsi="Arial" w:eastAsia="Arial"/>
          <w:b w:val="0"/>
          <w:i w:val="0"/>
          <w:color w:val="000000"/>
          <w:sz w:val="24"/>
        </w:rPr>
        <w:t>Programa New Business Launchpad (NBL) · Módulo 5</w:t>
      </w:r>
    </w:p>
    <w:p>
      <w:pPr>
        <w:spacing w:after="0" w:line="360" w:lineRule="auto"/>
      </w:pPr>
    </w:p>
    <w:p>
      <w:pPr>
        <w:spacing w:after="0" w:line="360" w:lineRule="auto"/>
      </w:pPr>
    </w:p>
    <w:p>
      <w:pPr>
        <w:spacing w:after="0" w:line="360" w:lineRule="auto"/>
      </w:pPr>
    </w:p>
    <w:p>
      <w:pPr>
        <w:spacing w:line="360" w:lineRule="auto" w:after="160"/>
        <w:jc w:val="center"/>
      </w:pPr>
      <w:r>
        <w:rPr>
          <w:rFonts w:ascii="Arial" w:hAnsi="Arial" w:eastAsia="Arial"/>
          <w:b/>
          <w:i w:val="0"/>
          <w:color w:val="000000"/>
          <w:sz w:val="40"/>
        </w:rPr>
        <w:t>El MVP y el product-market fit</w:t>
      </w:r>
    </w:p>
    <w:p>
      <w:pPr>
        <w:spacing w:line="360" w:lineRule="auto" w:after="120"/>
        <w:jc w:val="center"/>
      </w:pPr>
      <w:r>
        <w:rPr>
          <w:rFonts w:ascii="Arial" w:hAnsi="Arial" w:eastAsia="Arial"/>
          <w:b w:val="0"/>
          <w:i w:val="0"/>
          <w:color w:val="000000"/>
          <w:sz w:val="28"/>
        </w:rPr>
        <w:t>Coach de inteligencia artificial para atletas</w:t>
      </w:r>
    </w:p>
    <w:p>
      <w:pPr>
        <w:spacing w:after="0" w:line="360" w:lineRule="auto"/>
      </w:pPr>
    </w:p>
    <w:p>
      <w:pPr>
        <w:spacing w:after="0" w:line="360" w:lineRule="auto"/>
      </w:pPr>
    </w:p>
    <w:p>
      <w:pPr>
        <w:spacing w:after="0" w:line="360" w:lineRule="auto"/>
      </w:pPr>
    </w:p>
    <w:p>
      <w:pPr>
        <w:spacing w:after="0" w:line="360" w:lineRule="auto"/>
      </w:pPr>
    </w:p>
    <w:p>
      <w:pPr>
        <w:spacing w:line="360" w:lineRule="auto" w:after="120"/>
        <w:jc w:val="center"/>
      </w:pPr>
      <w:r>
        <w:rPr>
          <w:rFonts w:ascii="Arial" w:hAnsi="Arial" w:eastAsia="Arial"/>
          <w:b w:val="0"/>
          <w:i w:val="0"/>
          <w:color w:val="000000"/>
          <w:sz w:val="24"/>
        </w:rPr>
        <w:t>Nicolás Karagozian · Benjamín Mackinnon</w:t>
      </w:r>
    </w:p>
    <w:p>
      <w:pPr>
        <w:spacing w:line="360" w:lineRule="auto" w:after="120"/>
        <w:jc w:val="center"/>
      </w:pPr>
      <w:r>
        <w:rPr>
          <w:rFonts w:ascii="Arial" w:hAnsi="Arial" w:eastAsia="Arial"/>
          <w:b w:val="0"/>
          <w:i w:val="0"/>
          <w:color w:val="000000"/>
          <w:sz w:val="24"/>
        </w:rPr>
        <w:t>Mentor: Esteban Balduzzi</w:t>
      </w:r>
    </w:p>
    <w:p>
      <w:pPr>
        <w:spacing w:after="0" w:line="360" w:lineRule="auto"/>
      </w:pPr>
    </w:p>
    <w:p>
      <w:pPr>
        <w:spacing w:after="0" w:line="360" w:lineRule="auto"/>
      </w:pPr>
    </w:p>
    <w:p>
      <w:pPr>
        <w:spacing w:after="0" w:line="360" w:lineRule="auto"/>
      </w:pPr>
    </w:p>
    <w:p>
      <w:pPr>
        <w:spacing w:line="360" w:lineRule="auto" w:after="120"/>
        <w:jc w:val="center"/>
      </w:pPr>
      <w:r>
        <w:rPr>
          <w:rFonts w:ascii="Arial" w:hAnsi="Arial" w:eastAsia="Arial"/>
          <w:b w:val="0"/>
          <w:i w:val="0"/>
          <w:color w:val="000000"/>
          <w:sz w:val="24"/>
        </w:rPr>
        <w:t>Buenos Aires, agosto de 2026</w:t>
      </w:r>
    </w:p>
    <w:p>
      <w:pPr>
        <w:keepNext/>
        <w:spacing w:line="300" w:lineRule="auto" w:after="120"/>
      </w:pPr>
      <w:r>
        <w:br w:type="page"/>
      </w:r>
      <w:r>
        <w:rPr>
          <w:rFonts w:ascii="Arial" w:hAnsi="Arial" w:eastAsia="Arial"/>
          <w:b/>
          <w:i w:val="0"/>
          <w:color w:val="000000"/>
          <w:sz w:val="32"/>
        </w:rPr>
        <w:t>Resumen</w:t>
      </w:r>
    </w:p>
    <w:p>
      <w:pPr>
        <w:spacing w:line="360" w:lineRule="auto" w:after="160"/>
        <w:jc w:val="both"/>
      </w:pPr>
      <w:r>
        <w:rPr>
          <w:rFonts w:ascii="Arial" w:hAnsi="Arial" w:eastAsia="Arial"/>
          <w:b w:val="0"/>
          <w:i w:val="0"/>
          <w:color w:val="000000"/>
          <w:sz w:val="24"/>
        </w:rPr>
        <w:t>El Módulo 4 verificó el fit entre el mapa de valor y el perfil del cliente, pero lo hizo en el papel. El fit definitivo se confirma afuera, cuando personas que no participaron del diseño entienden la propuesta, la eligen y están dispuestas a pagarla. Este módulo construye el MVP y pone esa diferencia a prueba.</w:t>
      </w:r>
    </w:p>
    <w:p>
      <w:pPr>
        <w:spacing w:line="360" w:lineRule="auto" w:after="160"/>
        <w:jc w:val="both"/>
      </w:pPr>
      <w:r>
        <w:rPr>
          <w:rFonts w:ascii="Arial" w:hAnsi="Arial" w:eastAsia="Arial"/>
          <w:b w:val="0"/>
          <w:i w:val="0"/>
          <w:color w:val="000000"/>
          <w:sz w:val="24"/>
        </w:rPr>
        <w:t>El experimento fue un video de lanzamiento publicado en Instagram y TikTok, y una landing page que presenta la propuesta, expone el precio de US$10 por mes y cierra con una lista de espera. El orden de la página es una decisión de método: el precio va antes del formulario, de modo que ninguna dirección de correo pueda dejarse sin haberlo leído. Los criterios de éxito se fijaron antes de correr y no se retocaron después.</w:t>
      </w:r>
    </w:p>
    <w:p>
      <w:pPr>
        <w:spacing w:line="360" w:lineRule="auto" w:after="160"/>
        <w:jc w:val="both"/>
      </w:pPr>
      <w:r>
        <w:rPr>
          <w:rFonts w:ascii="Arial" w:hAnsi="Arial" w:eastAsia="Arial"/>
          <w:b w:val="0"/>
          <w:i w:val="0"/>
          <w:color w:val="000000"/>
          <w:sz w:val="24"/>
        </w:rPr>
        <w:t>En las primeras cuarenta y ocho horas el video acumuló 7.266 reproducciones y llevó 179 visitantes únicos a la landing. De ellos, 132 llegaron al precio y 111 dejaron su dirección de correo, es decir el 62,0% de todos los que entraron y el 84,1% de los que leyeron cuánto sale. Esa conversión cuadruplica el criterio que nos habíamos fijado y supera veinte veces el benchmark de referencia del módulo. El criterio de clic sobre alcance, en cambio, no se alcanzó: 2,5% contra el 5% previsto.</w:t>
      </w:r>
    </w:p>
    <w:p>
      <w:pPr>
        <w:spacing w:line="360" w:lineRule="auto" w:after="160"/>
        <w:jc w:val="both"/>
      </w:pPr>
      <w:r>
        <w:rPr>
          <w:rFonts w:ascii="Arial" w:hAnsi="Arial" w:eastAsia="Arial"/>
          <w:b w:val="0"/>
          <w:i w:val="0"/>
          <w:color w:val="000000"/>
          <w:sz w:val="24"/>
        </w:rPr>
        <w:t>La lectura conjunta de esos dos resultados es el aprendizaje central del módulo. Cuando la propuesta se entiende, convierte con una fuerza inusual, de modo que el cuello de botella del negocio no está hoy en el valor sino en la distribución. La conclusión que este documento defiende es que hay evidencia sólida de problem-solution fit y señales tempranas de product-market fit, y que para afirmarlo sin reservas faltan volumen, tráfico frío, una cohorte de uso sostenido y un cobro real.</w:t>
      </w:r>
    </w:p>
    <w:p>
      <w:pPr>
        <w:keepNext/>
        <w:spacing w:line="300" w:lineRule="auto" w:after="120"/>
      </w:pPr>
      <w:r>
        <w:br w:type="page"/>
      </w:r>
      <w:r>
        <w:rPr>
          <w:rFonts w:ascii="Arial" w:hAnsi="Arial" w:eastAsia="Arial"/>
          <w:b/>
          <w:i w:val="0"/>
          <w:color w:val="000000"/>
          <w:sz w:val="32"/>
        </w:rPr>
        <w:t>1. Del diseño al testeo</w:t>
      </w:r>
    </w:p>
    <w:p>
      <w:pPr>
        <w:spacing w:line="360" w:lineRule="auto" w:after="160"/>
        <w:jc w:val="both"/>
      </w:pPr>
      <w:r>
        <w:rPr>
          <w:rFonts w:ascii="Arial" w:hAnsi="Arial" w:eastAsia="Arial"/>
          <w:b w:val="0"/>
          <w:i w:val="0"/>
          <w:color w:val="000000"/>
          <w:sz w:val="24"/>
        </w:rPr>
        <w:t>Los Módulos 3 y 4 cerraron la fase de diseño: el primero validó empíricamente el problema y el perfil del cliente, y el segundo construyó el mapa de valor y verificó el fit entre ambos lados del Value Proposition Canvas. Ese resultado prueba coherencia interna, no demanda. Es lo que suele llamarse problem-solution fit, y el product-market fit es otra cosa: se confirma afuera, cuando cada vez más usuarios adoptan y sostienen el producto. Este módulo es la bisagra entre una cosa y la otra.</w:t>
      </w:r>
    </w:p>
    <w:p>
      <w:pPr>
        <w:spacing w:line="360" w:lineRule="auto" w:after="160"/>
        <w:jc w:val="both"/>
      </w:pPr>
      <w:r>
        <w:rPr>
          <w:rFonts w:ascii="Arial" w:hAnsi="Arial" w:eastAsia="Arial"/>
          <w:b w:val="0"/>
          <w:i w:val="0"/>
          <w:color w:val="000000"/>
          <w:sz w:val="24"/>
        </w:rPr>
        <w:t>El método que el módulo propone tiene cinco pasos que se repiten en ciclo: formular la hipótesis, inventar un experimento rápido y barato que la testee, definir el criterio de éxito antes de correrlo, correrlo y aprender. El tercero de esos pasos es el que más disciplina exige y el que ordena este documento, porque un experimento sin criterio escrito de antemano no produce aprendizaje sino justificación: cualquier número puede leerse como bueno si el umbral se fija después de verlo. Por eso los criterios de esta corrida se enuncian en la Sección 4, antes de que aparezca ningún resultado, y la Sección 5 los contrasta uno a uno, incluido el que no se alcanzó.</w:t>
      </w:r>
    </w:p>
    <w:p>
      <w:pPr>
        <w:keepNext/>
        <w:spacing w:line="300" w:lineRule="auto" w:after="120"/>
      </w:pPr>
      <w:r>
        <w:br w:type="page"/>
      </w:r>
      <w:r>
        <w:rPr>
          <w:rFonts w:ascii="Arial" w:hAnsi="Arial" w:eastAsia="Arial"/>
          <w:b/>
          <w:i w:val="0"/>
          <w:color w:val="000000"/>
          <w:sz w:val="32"/>
        </w:rPr>
        <w:t>2. El product-market fit desde el Value Proposition Canvas</w:t>
      </w:r>
    </w:p>
    <w:p>
      <w:pPr>
        <w:spacing w:line="360" w:lineRule="auto" w:after="160"/>
        <w:jc w:val="both"/>
      </w:pPr>
      <w:r>
        <w:rPr>
          <w:rFonts w:ascii="Arial" w:hAnsi="Arial" w:eastAsia="Arial"/>
          <w:b w:val="0"/>
          <w:i w:val="0"/>
          <w:color w:val="000000"/>
          <w:sz w:val="24"/>
        </w:rPr>
        <w:t>Hay fit cuando cada pain relevante del perfil del cliente tiene su pain reliever en el mapa de valor y cada gain esperado su gain creator, y cuando esa correspondencia responde a algo efectivamente observado en el campo. Los dos canvas quedaron transcriptos íntegros en los anexos del Módulo 4, de modo que esta sección no los repite: retoma el argumento del fit para poder discutir después en qué medida el experimento lo puso a prueba.</w:t>
      </w:r>
    </w:p>
    <w:p>
      <w:pPr>
        <w:spacing w:line="360" w:lineRule="auto" w:after="160"/>
        <w:jc w:val="both"/>
      </w:pPr>
      <w:r>
        <w:rPr>
          <w:rFonts w:ascii="Arial" w:hAnsi="Arial" w:eastAsia="Arial"/>
          <w:b w:val="0"/>
          <w:i w:val="0"/>
          <w:color w:val="000000"/>
          <w:sz w:val="24"/>
        </w:rPr>
        <w:t>El campo redefinió el problema en un sentido preciso. El pain dominante del atleta amateur no es el exceso de datos sino la ausencia de una guía personalizada y accionable que le diga qué entrenar, qué comer y cómo progresar. De ahí salen las dos definiciones que la propuesta honra: el valor está en accionar y no en mostrar, y el wearable tiene que ser opcional. Para el frente con wearable, cerca del 35% del segmento, el pain es tener los datos y no saber accionarlos, y Hernán lo muestra con claridad: corrió ocho maratones, duerme con su Garmin y saca capturas de sus métricas para subirlas a un chat de inteligencia artificial y que se las interprete. El pain reliever es la conversión automática de esa biometría en una recomendación diaria. Para el frente sin wearable, cerca del 65%, el pain es la ausencia de estructura propia, que Amparo formuló así: “no tengo plan; es lo que más me cuesta armarme”. El pain reliever es el plan armado y ajustado por conversación, que no necesita dispositivo porque el contexto llega hablando.</w:t>
      </w:r>
    </w:p>
    <w:p>
      <w:pPr>
        <w:spacing w:line="360" w:lineRule="auto" w:after="160"/>
        <w:jc w:val="both"/>
      </w:pPr>
      <w:r>
        <w:rPr>
          <w:rFonts w:ascii="Arial" w:hAnsi="Arial" w:eastAsia="Arial"/>
          <w:b w:val="0"/>
          <w:i w:val="0"/>
          <w:color w:val="000000"/>
          <w:sz w:val="24"/>
        </w:rPr>
        <w:t>Un fit honesto incluye lo que no cubre. El Módulo 4 dejó declarados tres pains que la propuesta atiende sólo de forma parcial: la corrección técnica presencial, que no tiene sustituto en una aplicación y por eso ordena el posicionamiento de complemento y no de reemplazo; el aval profesional o médico, que no se resuelve con producto sino con señales de rigor; y el vínculo social y comunitario, que Scala puede acompañar pero no generar.</w:t>
      </w:r>
    </w:p>
    <w:p>
      <w:pPr>
        <w:spacing w:line="360" w:lineRule="auto" w:after="160"/>
        <w:jc w:val="both"/>
      </w:pPr>
      <w:r>
        <w:rPr>
          <w:rFonts w:ascii="Arial" w:hAnsi="Arial" w:eastAsia="Arial"/>
          <w:b w:val="0"/>
          <w:i w:val="0"/>
          <w:color w:val="000000"/>
          <w:sz w:val="24"/>
        </w:rPr>
        <w:t>Con ese cuadro, la pregunta de este módulo se vuelve precisa: no es si el mapa de valor cierra contra el perfil del cliente, porque eso quedó verificado, sino si la propuesta, puesta frente a personas que no participaron de su diseño, es entendida y elegida.</w:t>
      </w:r>
    </w:p>
    <w:p>
      <w:pPr>
        <w:keepNext/>
        <w:spacing w:line="300" w:lineRule="auto" w:after="120"/>
      </w:pPr>
      <w:r>
        <w:br w:type="page"/>
      </w:r>
      <w:r>
        <w:rPr>
          <w:rFonts w:ascii="Arial" w:hAnsi="Arial" w:eastAsia="Arial"/>
          <w:b/>
          <w:i w:val="0"/>
          <w:color w:val="000000"/>
          <w:sz w:val="32"/>
        </w:rPr>
        <w:t>3. El MVP: proceso de construcción y arquitectura</w:t>
      </w:r>
    </w:p>
    <w:p>
      <w:pPr>
        <w:keepNext/>
        <w:spacing w:line="360" w:lineRule="auto" w:before="160" w:after="40"/>
      </w:pPr>
      <w:r>
        <w:rPr>
          <w:rFonts w:ascii="Arial" w:hAnsi="Arial" w:eastAsia="Arial"/>
          <w:b/>
          <w:i w:val="0"/>
          <w:color w:val="000000"/>
          <w:sz w:val="24"/>
        </w:rPr>
        <w:t>3.1 Qué es un MVP y en qué punto está Scala</w:t>
      </w:r>
    </w:p>
    <w:p>
      <w:pPr>
        <w:spacing w:line="360" w:lineRule="auto" w:after="160"/>
        <w:jc w:val="both"/>
      </w:pPr>
      <w:r>
        <w:rPr>
          <w:rFonts w:ascii="Arial" w:hAnsi="Arial" w:eastAsia="Arial"/>
          <w:b w:val="0"/>
          <w:i w:val="0"/>
          <w:color w:val="000000"/>
          <w:sz w:val="24"/>
        </w:rPr>
        <w:t>El marco del módulo es el de Eric Ries: el MVP es la versión de un nuevo producto que permite recoger, con el mínimo esfuerzo, la máxima cantidad de conocimiento validado acerca de los consumidores. La definición pone el acento en el conocimiento y no en el producto, y por eso el error más frecuente es confundir el MVP con la primera versión del producto definitivo. Es, en rigor, una serie de prototipos dentro de un proceso de aprendizaje, con cuatro hitos sucesivos: la idea diseñada y lista para experimentar, la prueba de concepto publicada, la primera versión construida y el producto maduro que se empieza a vender.</w:t>
      </w:r>
    </w:p>
    <w:p>
      <w:pPr>
        <w:spacing w:line="360" w:lineRule="auto" w:after="160"/>
        <w:jc w:val="both"/>
      </w:pPr>
      <w:r>
        <w:rPr>
          <w:rFonts w:ascii="Arial" w:hAnsi="Arial" w:eastAsia="Arial"/>
          <w:b w:val="0"/>
          <w:i w:val="0"/>
          <w:color w:val="000000"/>
          <w:sz w:val="24"/>
        </w:rPr>
        <w:t>Corresponde ser transparentes sobre en qué punto de esa secuencia llegó Scala, porque el propio módulo advierte contra el recorrido que hicimos. El hito 1 quedó cerrado con el Módulo 4 y el hito 3 existe: hay un prototipo funcional, con integración biométrica real y un coach operativo. El hito 2, la prueba de concepto publicada frente al mercado, es justamente lo que este módulo vino a correr. Dicho sin rodeos, la secuencia se invirtió: se construyó producto antes de pasar las primeras pruebas del MVP, que es el error que el módulo señala como el más caro.</w:t>
      </w:r>
    </w:p>
    <w:p>
      <w:pPr>
        <w:spacing w:line="360" w:lineRule="auto" w:after="160"/>
        <w:jc w:val="both"/>
      </w:pPr>
      <w:r>
        <w:rPr>
          <w:rFonts w:ascii="Arial" w:hAnsi="Arial" w:eastAsia="Arial"/>
          <w:b w:val="0"/>
          <w:i w:val="0"/>
          <w:color w:val="000000"/>
          <w:sz w:val="24"/>
        </w:rPr>
        <w:t>Reconocerlo tiene dos consecuencias. La primera es que la existencia del producto no exime de correr la validación: la propuesta de valor seguía sin evidencia de mercado, y una aplicación construida sobre una hipótesis no verificada es exactamente la situación que el marco intenta evitar. Si algo, la vuelve más urgente. La segunda es que, una vez asumida, la inversión hecha cambia de papel y pasa a ser un activo del experimento. Drew Houston grabó el video de Dropbox porque no tenía producto que mostrar; nosotros pudimos grabar el equivalente sobre la aplicación real, con lo cual lo que el espectador evalúa es el producto y no una promesa. Es el mismo experimento del hito 2, corrido con mejor material.</w:t>
      </w:r>
    </w:p>
    <w:p>
      <w:pPr>
        <w:keepNext/>
        <w:spacing w:line="360" w:lineRule="auto" w:before="160" w:after="40"/>
      </w:pPr>
      <w:r>
        <w:rPr>
          <w:rFonts w:ascii="Arial" w:hAnsi="Arial" w:eastAsia="Arial"/>
          <w:b/>
          <w:i w:val="0"/>
          <w:color w:val="000000"/>
          <w:sz w:val="24"/>
        </w:rPr>
        <w:t>3.2 Qué es la aplicación</w:t>
      </w:r>
    </w:p>
    <w:p>
      <w:pPr>
        <w:spacing w:line="360" w:lineRule="auto" w:after="160"/>
        <w:jc w:val="both"/>
      </w:pPr>
      <w:r>
        <w:rPr>
          <w:rFonts w:ascii="Arial" w:hAnsi="Arial" w:eastAsia="Arial"/>
          <w:b w:val="0"/>
          <w:i w:val="0"/>
          <w:color w:val="000000"/>
          <w:sz w:val="24"/>
        </w:rPr>
        <w:t>Scala es una aplicación de fitness para el teléfono que se organiza alrededor de un objetivo. Lo primero que hace el usuario al entrar es definirlo, y no tiene por qué ser deportivo: puede ser correr una carrera, dormir mejor, bajar el estrés o comer mejor. La aplicación toma ese objetivo, lo parte en fases con fecha y mide el avance contra él. Todo lo que viene después existe para cumplirlo, y esa es la diferencia de fondo con las aplicaciones que registran actividad sin saber para qué.</w:t>
      </w:r>
    </w:p>
    <w:p>
      <w:pPr>
        <w:spacing w:line="360" w:lineRule="auto" w:after="160"/>
        <w:jc w:val="both"/>
      </w:pPr>
      <w:r>
        <w:rPr>
          <w:rFonts w:ascii="Arial" w:hAnsi="Arial" w:eastAsia="Arial"/>
          <w:b w:val="0"/>
          <w:i w:val="0"/>
          <w:color w:val="000000"/>
          <w:sz w:val="24"/>
        </w:rPr>
        <w:t>Sobre el objetivo se apoyan tres pilares. El primero es el entrenamiento: la semana se arma sola, se reescribe cuando el cuerpo o la agenda cambian, y las sesiones se envían automáticamente al reloj del usuario. El segundo es la nutrición, que queda atada a lo que se entrena esa semana y se registra sacándole una foto al plato o contándolo por nota de voz. El tercero son los hábitos, que no se tildan a mano: la aplicación los da por cumplidos interpretando lo que ya sabe de los otros dos pilares.</w:t>
      </w:r>
    </w:p>
    <w:p>
      <w:pPr>
        <w:spacing w:line="360" w:lineRule="auto" w:after="160"/>
        <w:jc w:val="both"/>
      </w:pPr>
      <w:r>
        <w:rPr>
          <w:rFonts w:ascii="Arial" w:hAnsi="Arial" w:eastAsia="Arial"/>
          <w:b w:val="0"/>
          <w:i w:val="0"/>
          <w:color w:val="000000"/>
          <w:sz w:val="24"/>
        </w:rPr>
        <w:t>La información con la que se alimentan esos pilares sale de donde el usuario la tenga. Si usa reloj, la biometría entra sola y el coach la interpreta. Si no lo usa, entra por el teléfono, a través de la foto de la comida, de una nota de voz o simplemente de lo que le cuenta al coach. Esa es la condición que permite atender a los dos frentes del segmento con un solo producto. La superficie desde donde se actualiza todo es una conversación con el coach, que recuerda el contexto entre sesiones, de manera que una lesión, una restricción alimentaria o el horario en que la persona puede entrenar se explican una sola vez. El ciclo se cierra solo: cada día el coach recalcula qué falta para el objetivo y ajusta lo que hay que hacer.</w:t>
      </w:r>
    </w:p>
    <w:p>
      <w:pPr>
        <w:spacing w:line="360" w:lineRule="auto" w:after="160"/>
        <w:jc w:val="both"/>
      </w:pPr>
      <w:r>
        <w:rPr>
          <w:rFonts w:ascii="Arial" w:hAnsi="Arial" w:eastAsia="Arial"/>
          <w:b w:val="0"/>
          <w:i w:val="0"/>
          <w:color w:val="000000"/>
          <w:sz w:val="24"/>
        </w:rPr>
        <w:t>También importa qué queda deliberadamente afuera del MVP. No hay cobro implementado, porque el modelo de negocios es materia del módulo siguiente y porque en esta etapa lo que se quiere medir es intención y no ingreso. No hay capa social ni comunitaria, en coherencia con el límite que la propuesta declaró. Y no hay corrección técnica por video ni aval profesional, los dos pains que el Módulo 4 dejó explícitamente sin resolver. Cada una de esas ausencias es una decisión de alcance y no una deuda pendiente.</w:t>
      </w:r>
    </w:p>
    <w:p>
      <w:pPr>
        <w:keepNext/>
        <w:spacing w:line="360" w:lineRule="auto" w:before="160" w:after="40"/>
      </w:pPr>
      <w:r>
        <w:rPr>
          <w:rFonts w:ascii="Arial" w:hAnsi="Arial" w:eastAsia="Arial"/>
          <w:b/>
          <w:i w:val="0"/>
          <w:color w:val="000000"/>
          <w:sz w:val="24"/>
        </w:rPr>
        <w:t>3.3 Los artefactos del experimento</w:t>
      </w:r>
    </w:p>
    <w:p>
      <w:pPr>
        <w:spacing w:line="360" w:lineRule="auto" w:after="160"/>
        <w:jc w:val="both"/>
      </w:pPr>
      <w:r>
        <w:rPr>
          <w:rFonts w:ascii="Arial" w:hAnsi="Arial" w:eastAsia="Arial"/>
          <w:b w:val="0"/>
          <w:i w:val="0"/>
          <w:color w:val="000000"/>
          <w:sz w:val="24"/>
        </w:rPr>
        <w:t>Sobre el producto se construyeron cuatro piezas cuya única función es medir. Conviene describirlas como instrumentos y no como producto, porque de su diseño depende qué se puede leer en los números.</w:t>
      </w:r>
    </w:p>
    <w:p>
      <w:pPr>
        <w:spacing w:line="360" w:lineRule="auto" w:after="160"/>
        <w:jc w:val="both"/>
      </w:pPr>
      <w:r>
        <w:rPr>
          <w:rFonts w:ascii="Arial" w:hAnsi="Arial" w:eastAsia="Arial"/>
          <w:b w:val="0"/>
          <w:i w:val="0"/>
          <w:color w:val="000000"/>
          <w:sz w:val="24"/>
        </w:rPr>
        <w:t>La primera es el video de lanzamiento, publicado en formato vertical como colaboración entre la cuenta personal de Benjamín Mackinnon, que es embajador de Ironman y tiene audiencia propia en el ambiente deportivo, y la cuenta de marca @scala.fit, creada para este experimento y sin ningún seguidor previo. El video no lista funcionalidades: parte de una historia real, la de preparar un Ironman enteramente con inteligencia artificial, y de ahí pasa a mostrar la aplicación tal como funciona, primero el objetivo, después los tres pilares y por último cómo el plan sale al reloj. Cierra invitando a anotarse en la lista de espera. Es el equivalente estructural del video de Dropbox, con la diferencia de que acá el producto existe y se muestra funcionando.</w:t>
      </w:r>
    </w:p>
    <w:p>
      <w:pPr>
        <w:spacing w:line="360" w:lineRule="auto" w:after="160"/>
        <w:jc w:val="both"/>
      </w:pPr>
      <w:r>
        <w:rPr>
          <w:rFonts w:ascii="Arial" w:hAnsi="Arial" w:eastAsia="Arial"/>
          <w:b w:val="0"/>
          <w:i w:val="0"/>
          <w:color w:val="000000"/>
          <w:sz w:val="24"/>
        </w:rPr>
        <w:t>La segunda es la landing, publicada en scala.fit, armada como una secuencia de siete bloques que primero construye empatía con el problema y recién al final pide el correo. La tercera es el bloque de precio, que es el instrumento decisivo: muestra un plan único a US$10 por mes con el anclaje explícito contra la alternativa, ya que un entrenador que siga en serio más un nutricionista no bajan de US$100 mensuales, y ofrece seis meses sin costo a los primeros inscriptos, aclarando que cuántos entran depende de cuánta gente se anote y que por lo tanto no se garantiza. Esa aclaración cuesta conversión y se puso igual, porque prometer un beneficio que después no se puede honrar contamina el experimento y el negocio. Lo importante para la medición es la posición: el precio está antes del formulario.</w:t>
      </w:r>
    </w:p>
    <w:p>
      <w:pPr>
        <w:spacing w:line="360" w:lineRule="auto" w:after="160"/>
        <w:jc w:val="both"/>
      </w:pPr>
      <w:r>
        <w:rPr>
          <w:rFonts w:ascii="Arial" w:hAnsi="Arial" w:eastAsia="Arial"/>
          <w:b w:val="0"/>
          <w:i w:val="0"/>
          <w:color w:val="000000"/>
          <w:sz w:val="24"/>
        </w:rPr>
        <w:t>La cuarta es el formulario, que pide un solo dato, la dirección de correo. No preguntar nada más fue deliberado: cada campo adicional es fricción, y lo que se quiere medir es intención y no perfil. La página, además, registra el paso de cada visitante por el precio y por el formulario con un identificador anónimo, sin dato personal asociado, y todos los ratios de este documento se calculan sobre visitantes únicos y no sobre impactos.</w:t>
      </w:r>
    </w:p>
    <w:p>
      <w:pPr>
        <w:keepNext/>
        <w:spacing w:line="300" w:lineRule="auto" w:after="120"/>
      </w:pPr>
      <w:r>
        <w:br w:type="page"/>
      </w:r>
      <w:r>
        <w:rPr>
          <w:rFonts w:ascii="Arial" w:hAnsi="Arial" w:eastAsia="Arial"/>
          <w:b/>
          <w:i w:val="0"/>
          <w:color w:val="000000"/>
          <w:sz w:val="32"/>
        </w:rPr>
        <w:t>4. Diseño del experimento</w:t>
      </w:r>
    </w:p>
    <w:p>
      <w:pPr>
        <w:spacing w:line="360" w:lineRule="auto" w:after="160"/>
        <w:jc w:val="both"/>
      </w:pPr>
      <w:r>
        <w:rPr>
          <w:rFonts w:ascii="Arial" w:hAnsi="Arial" w:eastAsia="Arial"/>
          <w:b w:val="0"/>
          <w:i w:val="0"/>
          <w:color w:val="000000"/>
          <w:sz w:val="24"/>
        </w:rPr>
        <w:t>Las hipótesis no se inventaron en este módulo. La Sección 8 del Módulo 4 dejó explícitos los supuestos que sostienen la propuesta y los enunció como la agenda de experimentos de esta etapa. De esa agenda, el experimento ataca los dos que se pueden poner a prueba con una pieza de comunicación y una página: el que sostiene el valor y el que sostiene la captura de ese valor.</w:t>
      </w:r>
    </w:p>
    <w:p>
      <w:pPr>
        <w:spacing w:line="360" w:lineRule="auto" w:after="160"/>
        <w:jc w:val="both"/>
      </w:pPr>
      <w:r>
        <w:rPr>
          <w:rFonts w:ascii="Arial" w:hAnsi="Arial" w:eastAsia="Arial"/>
          <w:b/>
          <w:i w:val="0"/>
          <w:color w:val="000000"/>
          <w:sz w:val="24"/>
        </w:rPr>
        <w:t>Hipótesis 1. El valor está en accionar, no en mostrar.</w:t>
      </w:r>
      <w:r>
        <w:rPr>
          <w:rFonts w:ascii="Arial" w:hAnsi="Arial" w:eastAsia="Arial"/>
          <w:b w:val="0"/>
          <w:i w:val="0"/>
          <w:color w:val="000000"/>
          <w:sz w:val="24"/>
        </w:rPr>
        <w:t xml:space="preserve"> Creemos que el atleta amateur comprometido percibe más valor en un coach que interpreta y decide por él que en una aplicación que le muestra datos, y que ese interés es lo bastante fuerte como para que deje su dirección de correo antes de que el producto esté disponible. Es la hipótesis básica de la propuesta: sin ella, todo lo demás sobra.</w:t>
      </w:r>
    </w:p>
    <w:p>
      <w:pPr>
        <w:spacing w:line="360" w:lineRule="auto" w:after="160"/>
        <w:jc w:val="both"/>
      </w:pPr>
      <w:r>
        <w:rPr>
          <w:rFonts w:ascii="Arial" w:hAnsi="Arial" w:eastAsia="Arial"/>
          <w:b/>
          <w:i w:val="0"/>
          <w:color w:val="000000"/>
          <w:sz w:val="24"/>
        </w:rPr>
        <w:t>Hipótesis 2. El precio no es la barrera.</w:t>
      </w:r>
      <w:r>
        <w:rPr>
          <w:rFonts w:ascii="Arial" w:hAnsi="Arial" w:eastAsia="Arial"/>
          <w:b w:val="0"/>
          <w:i w:val="0"/>
          <w:color w:val="000000"/>
          <w:sz w:val="24"/>
        </w:rPr>
        <w:t xml:space="preserve"> Creemos que el atleta que entiende la propuesta está dispuesto a pagar del orden de US$10 por mes y que ese precio, expuesto sin eufemismos antes de pedir nada, no funciona como filtro de entrada. Ataca el riesgo más serio del Módulo 4 en términos de negocio: el 72% del segmento declaró que pagaría o tal vez pagaría ese monto, pero el 63% gasta cero hoy y el patrón dominante es probar primero y pagar después de ver valor.</w:t>
      </w:r>
    </w:p>
    <w:p>
      <w:pPr>
        <w:spacing w:line="360" w:lineRule="auto" w:after="160"/>
        <w:jc w:val="both"/>
      </w:pPr>
      <w:r>
        <w:rPr>
          <w:rFonts w:ascii="Arial" w:hAnsi="Arial" w:eastAsia="Arial"/>
          <w:b w:val="0"/>
          <w:i w:val="0"/>
          <w:color w:val="000000"/>
          <w:sz w:val="24"/>
        </w:rPr>
        <w:t>El experimento combina dos de los tipos que el módulo habilita, el video MVP y la landing page, encadenados en un solo embudo. El público objetivo son atletas amateurs que entrenan varias veces por semana, alcanzados por difusión orgánica en Instagram y TikTok, sin pauta paga y con presupuesto cero. Los criterios de éxito se fijaron sobre los benchmarks del ejemplo que el módulo entrega como referencia, donde una landing con tráfico frío convierte cerca del 3% y una campaña de correo rinde alrededor del 3% de clic, corregidos hacia arriba porque la difusión se apoya en redes personales, que son tráfico tibio y convierten varias veces mejor. Sobre esa base, los criterios definidos antes de correr fueron una tasa de clic superior al 5% sobre el alcance del video, una conversión de visitante a lead superior al 15% y un volumen mínimo de 25 leads. A ellos se suma, para la Hipótesis 2, un criterio que no es numérico sino de diseño: que ninguna dirección de correo pueda dejarse sin haber pasado por el precio, condición que se garantiza por el orden de los bloques de la página.</w:t>
      </w:r>
    </w:p>
    <w:p>
      <w:pPr>
        <w:spacing w:line="360" w:lineRule="auto" w:after="160"/>
        <w:jc w:val="both"/>
      </w:pPr>
      <w:r>
        <w:rPr>
          <w:rFonts w:ascii="Arial" w:hAnsi="Arial" w:eastAsia="Arial"/>
          <w:b w:val="0"/>
          <w:i w:val="0"/>
          <w:color w:val="000000"/>
          <w:sz w:val="24"/>
        </w:rPr>
        <w:t>Conviene dejar escrito el sesgo antes de mostrar los números. La difusión se apoyó en la cuenta personal de uno de los fundadores, de modo que parte del alcance corresponde a su red y hay un sesgo de complacencia esperable. Se lo mitiga de tres maneras: exigiendo una acción con costo real, porque dejar una dirección de correo después de leer un precio no es lo mismo que reaccionar a una publicación; reportando el n junto a cada porcentaje, para que ningún ratio se lea como si viniera de una muestra representativa; y apoyándose en un dato estructural, que la cuenta de marca partió de cero seguidores, con lo cual toda la audiencia que llegó a ella lo hizo sin conocer el proyecto.</w:t>
      </w:r>
    </w:p>
    <w:p>
      <w:pPr>
        <w:keepNext/>
        <w:spacing w:line="360" w:lineRule="auto" w:before="160" w:after="40"/>
      </w:pPr>
      <w:r>
        <w:rPr>
          <w:rFonts w:ascii="Arial" w:hAnsi="Arial" w:eastAsia="Arial"/>
          <w:b/>
          <w:i w:val="0"/>
          <w:color w:val="000000"/>
          <w:sz w:val="24"/>
        </w:rPr>
        <w:t>Card de experimento</w:t>
      </w:r>
    </w:p>
    <w:tbl>
      <w:tblPr>
        <w:tblStyle w:val="TableGrid"/>
        <w:tblW w:type="auto" w:w="0"/>
        <w:jc w:val="center"/>
        <w:tblLayout w:type="fixed"/>
        <w:tblLook w:firstColumn="1" w:firstRow="1" w:lastColumn="0" w:lastRow="0" w:noHBand="0" w:noVBand="1" w:val="04A0"/>
        <w:tblLayout w:type="fixed"/>
      </w:tblPr>
      <w:tblGrid>
        <w:gridCol w:w="4252"/>
        <w:gridCol w:w="4252"/>
      </w:tblGrid>
      <w:tr>
        <w:trPr>
          <w:tblHeader w:val="true"/>
        </w:trPr>
        <w:tc>
          <w:tcPr>
            <w:tcW w:type="dxa" w:w="2268"/>
          </w:tcPr>
          <w:p>
            <w:pPr>
              <w:spacing w:line="240" w:lineRule="auto" w:after="40" w:before="40"/>
            </w:pPr>
            <w:r>
              <w:rPr>
                <w:rFonts w:ascii="Arial" w:hAnsi="Arial" w:eastAsia="Arial"/>
                <w:b/>
                <w:i w:val="0"/>
                <w:color w:val="000000"/>
                <w:sz w:val="18"/>
              </w:rPr>
              <w:t>Campo</w:t>
            </w:r>
          </w:p>
        </w:tc>
        <w:tc>
          <w:tcPr>
            <w:tcW w:type="dxa" w:w="6236"/>
          </w:tcPr>
          <w:p>
            <w:pPr>
              <w:spacing w:line="240" w:lineRule="auto" w:after="40" w:before="40"/>
            </w:pPr>
            <w:r>
              <w:rPr>
                <w:rFonts w:ascii="Arial" w:hAnsi="Arial" w:eastAsia="Arial"/>
                <w:b/>
                <w:i w:val="0"/>
                <w:color w:val="000000"/>
                <w:sz w:val="18"/>
              </w:rPr>
              <w:t>Contenido</w:t>
            </w:r>
          </w:p>
        </w:tc>
      </w:tr>
      <w:tr>
        <w:tc>
          <w:tcPr>
            <w:tcW w:type="dxa" w:w="2268"/>
          </w:tcPr>
          <w:p>
            <w:pPr>
              <w:spacing w:line="240" w:lineRule="auto" w:after="40" w:before="40"/>
            </w:pPr>
            <w:r>
              <w:rPr>
                <w:rFonts w:ascii="Arial" w:hAnsi="Arial" w:eastAsia="Arial"/>
                <w:b w:val="0"/>
                <w:i w:val="0"/>
                <w:color w:val="000000"/>
                <w:sz w:val="18"/>
              </w:rPr>
              <w:t>1. Tipo y nombre</w:t>
            </w:r>
          </w:p>
        </w:tc>
        <w:tc>
          <w:tcPr>
            <w:tcW w:type="dxa" w:w="6236"/>
          </w:tcPr>
          <w:p>
            <w:pPr>
              <w:spacing w:line="240" w:lineRule="auto" w:after="40" w:before="40"/>
            </w:pPr>
            <w:r>
              <w:rPr>
                <w:rFonts w:ascii="Arial" w:hAnsi="Arial" w:eastAsia="Arial"/>
                <w:b w:val="0"/>
                <w:i w:val="0"/>
                <w:color w:val="000000"/>
                <w:sz w:val="18"/>
              </w:rPr>
              <w:t>Video MVP (tipo Dropbox) más landing page con puerta de precio. “Tu 10K empieza acá”.</w:t>
            </w:r>
          </w:p>
        </w:tc>
      </w:tr>
      <w:tr>
        <w:tc>
          <w:tcPr>
            <w:tcW w:type="dxa" w:w="2268"/>
          </w:tcPr>
          <w:p>
            <w:pPr>
              <w:spacing w:line="240" w:lineRule="auto" w:after="40" w:before="40"/>
            </w:pPr>
            <w:r>
              <w:rPr>
                <w:rFonts w:ascii="Arial" w:hAnsi="Arial" w:eastAsia="Arial"/>
                <w:b w:val="0"/>
                <w:i w:val="0"/>
                <w:color w:val="000000"/>
                <w:sz w:val="18"/>
              </w:rPr>
              <w:t>2. Hipótesis: creemos que…</w:t>
            </w:r>
          </w:p>
        </w:tc>
        <w:tc>
          <w:tcPr>
            <w:tcW w:type="dxa" w:w="6236"/>
          </w:tcPr>
          <w:p>
            <w:pPr>
              <w:spacing w:line="240" w:lineRule="auto" w:after="40" w:before="40"/>
            </w:pPr>
            <w:r>
              <w:rPr>
                <w:rFonts w:ascii="Arial" w:hAnsi="Arial" w:eastAsia="Arial"/>
                <w:b w:val="0"/>
                <w:i w:val="0"/>
                <w:color w:val="000000"/>
                <w:sz w:val="18"/>
              </w:rPr>
              <w:t>Creemos que el atleta amateur comprometido percibe más valor en un coach que interpreta y decide por él que en una app que le muestra datos, y que ese interés alcanza para que deje su dirección de correo antes de que el producto esté disponible, incluso después de leer que cuesta US$10 por mes.</w:t>
            </w:r>
          </w:p>
        </w:tc>
      </w:tr>
      <w:tr>
        <w:tc>
          <w:tcPr>
            <w:tcW w:type="dxa" w:w="2268"/>
          </w:tcPr>
          <w:p>
            <w:pPr>
              <w:spacing w:line="240" w:lineRule="auto" w:after="40" w:before="40"/>
            </w:pPr>
            <w:r>
              <w:rPr>
                <w:rFonts w:ascii="Arial" w:hAnsi="Arial" w:eastAsia="Arial"/>
                <w:b w:val="0"/>
                <w:i w:val="0"/>
                <w:color w:val="000000"/>
                <w:sz w:val="18"/>
              </w:rPr>
              <w:t>3. Test: explicación del test y del target</w:t>
            </w:r>
          </w:p>
        </w:tc>
        <w:tc>
          <w:tcPr>
            <w:tcW w:type="dxa" w:w="6236"/>
          </w:tcPr>
          <w:p>
            <w:pPr>
              <w:spacing w:line="240" w:lineRule="auto" w:after="40" w:before="40"/>
            </w:pPr>
            <w:r>
              <w:rPr>
                <w:rFonts w:ascii="Arial" w:hAnsi="Arial" w:eastAsia="Arial"/>
                <w:b w:val="0"/>
                <w:i w:val="0"/>
                <w:color w:val="000000"/>
                <w:sz w:val="18"/>
              </w:rPr>
              <w:t>Video vertical publicado en Instagram y TikTok, como colaboración entre la cuenta personal de un fundador y la cuenta de marca creada desde cero, con enlace a una landing que presenta la propuesta, expone el precio y cierra con una lista de espera de un solo campo. Target: atletas amateurs que entrenan varias veces por semana. Difusión orgánica, sin pauta paga.</w:t>
            </w:r>
          </w:p>
        </w:tc>
      </w:tr>
      <w:tr>
        <w:tc>
          <w:tcPr>
            <w:tcW w:type="dxa" w:w="2268"/>
          </w:tcPr>
          <w:p>
            <w:pPr>
              <w:spacing w:line="240" w:lineRule="auto" w:after="40" w:before="40"/>
            </w:pPr>
            <w:r>
              <w:rPr>
                <w:rFonts w:ascii="Arial" w:hAnsi="Arial" w:eastAsia="Arial"/>
                <w:b w:val="0"/>
                <w:i w:val="0"/>
                <w:color w:val="000000"/>
                <w:sz w:val="18"/>
              </w:rPr>
              <w:t>4. Métrica: cómo mediremos los resultados</w:t>
            </w:r>
          </w:p>
        </w:tc>
        <w:tc>
          <w:tcPr>
            <w:tcW w:type="dxa" w:w="6236"/>
          </w:tcPr>
          <w:p>
            <w:pPr>
              <w:spacing w:line="240" w:lineRule="auto" w:after="40" w:before="40"/>
            </w:pPr>
            <w:r>
              <w:rPr>
                <w:rFonts w:ascii="Arial" w:hAnsi="Arial" w:eastAsia="Arial"/>
                <w:b w:val="0"/>
                <w:i w:val="0"/>
                <w:color w:val="000000"/>
                <w:sz w:val="18"/>
              </w:rPr>
              <w:t>Reproducciones del video, tasa de clic sobre ese alcance, y el embudo de la landing sobre visitantes únicos: entrada, llegada al bloque de precio, llegada al formulario y alta efectiva.</w:t>
            </w:r>
          </w:p>
        </w:tc>
      </w:tr>
      <w:tr>
        <w:tc>
          <w:tcPr>
            <w:tcW w:type="dxa" w:w="2268"/>
          </w:tcPr>
          <w:p>
            <w:pPr>
              <w:spacing w:line="240" w:lineRule="auto" w:after="40" w:before="40"/>
            </w:pPr>
            <w:r>
              <w:rPr>
                <w:rFonts w:ascii="Arial" w:hAnsi="Arial" w:eastAsia="Arial"/>
                <w:b w:val="0"/>
                <w:i w:val="0"/>
                <w:color w:val="000000"/>
                <w:sz w:val="18"/>
              </w:rPr>
              <w:t>5. Éxito: cómo definimos si fue exitoso</w:t>
            </w:r>
          </w:p>
        </w:tc>
        <w:tc>
          <w:tcPr>
            <w:tcW w:type="dxa" w:w="6236"/>
          </w:tcPr>
          <w:p>
            <w:pPr>
              <w:spacing w:line="240" w:lineRule="auto" w:after="40" w:before="40"/>
            </w:pPr>
            <w:r>
              <w:rPr>
                <w:rFonts w:ascii="Arial" w:hAnsi="Arial" w:eastAsia="Arial"/>
                <w:b w:val="0"/>
                <w:i w:val="0"/>
                <w:color w:val="000000"/>
                <w:sz w:val="18"/>
              </w:rPr>
              <w:t>Tasa de clic mayor al 5% sobre el alcance orgánico, conversión de visitante a lead mayor al 15% y un mínimo de 25 leads. Condición de diseño para la lectura del precio: que el 100% de los leads se produzca después del bloque de precio.</w:t>
            </w:r>
          </w:p>
        </w:tc>
      </w:tr>
    </w:tbl>
    <w:p>
      <w:pPr>
        <w:spacing w:after="0"/>
      </w:pPr>
    </w:p>
    <w:p>
      <w:pPr>
        <w:spacing w:line="240" w:lineRule="auto" w:before="40" w:after="240"/>
        <w:jc w:val="center"/>
      </w:pPr>
      <w:r>
        <w:rPr>
          <w:rFonts w:ascii="Arial" w:hAnsi="Arial" w:eastAsia="Arial"/>
          <w:b w:val="0"/>
          <w:i/>
          <w:color w:val="000000"/>
          <w:sz w:val="20"/>
        </w:rPr>
        <w:t>Tabla 1. Card de experimento, completada antes de correr el test.</w:t>
      </w:r>
    </w:p>
    <w:p>
      <w:pPr>
        <w:keepNext/>
        <w:spacing w:line="360" w:lineRule="auto" w:before="160" w:after="40"/>
      </w:pPr>
      <w:r>
        <w:rPr>
          <w:rFonts w:ascii="Arial" w:hAnsi="Arial" w:eastAsia="Arial"/>
          <w:b/>
          <w:i w:val="0"/>
          <w:color w:val="000000"/>
          <w:sz w:val="24"/>
        </w:rPr>
        <w:t>Flow del experimento</w:t>
      </w:r>
    </w:p>
    <w:tbl>
      <w:tblPr>
        <w:tblStyle w:val="TableGrid"/>
        <w:tblW w:type="auto" w:w="0"/>
        <w:jc w:val="center"/>
        <w:tblLayout w:type="fixed"/>
        <w:tblLook w:firstColumn="1" w:firstRow="1" w:lastColumn="0" w:lastRow="0" w:noHBand="0" w:noVBand="1" w:val="04A0"/>
        <w:tblLayout w:type="fixed"/>
      </w:tblPr>
      <w:tblGrid>
        <w:gridCol w:w="4252"/>
        <w:gridCol w:w="4252"/>
      </w:tblGrid>
      <w:tr>
        <w:trPr>
          <w:tblHeader w:val="true"/>
        </w:trPr>
        <w:tc>
          <w:tcPr>
            <w:tcW w:type="dxa" w:w="1814"/>
          </w:tcPr>
          <w:p>
            <w:pPr>
              <w:spacing w:line="240" w:lineRule="auto" w:after="40" w:before="40"/>
            </w:pPr>
            <w:r>
              <w:rPr>
                <w:rFonts w:ascii="Arial" w:hAnsi="Arial" w:eastAsia="Arial"/>
                <w:b/>
                <w:i w:val="0"/>
                <w:color w:val="000000"/>
                <w:sz w:val="18"/>
              </w:rPr>
              <w:t>Paso</w:t>
            </w:r>
          </w:p>
        </w:tc>
        <w:tc>
          <w:tcPr>
            <w:tcW w:type="dxa" w:w="6690"/>
          </w:tcPr>
          <w:p>
            <w:pPr>
              <w:spacing w:line="240" w:lineRule="auto" w:after="40" w:before="40"/>
            </w:pPr>
            <w:r>
              <w:rPr>
                <w:rFonts w:ascii="Arial" w:hAnsi="Arial" w:eastAsia="Arial"/>
                <w:b/>
                <w:i w:val="0"/>
                <w:color w:val="000000"/>
                <w:sz w:val="18"/>
              </w:rPr>
              <w:t>Definición</w:t>
            </w:r>
          </w:p>
        </w:tc>
      </w:tr>
      <w:tr>
        <w:tc>
          <w:tcPr>
            <w:tcW w:type="dxa" w:w="1814"/>
          </w:tcPr>
          <w:p>
            <w:pPr>
              <w:spacing w:line="240" w:lineRule="auto" w:after="40" w:before="40"/>
            </w:pPr>
            <w:r>
              <w:rPr>
                <w:rFonts w:ascii="Arial" w:hAnsi="Arial" w:eastAsia="Arial"/>
                <w:b w:val="0"/>
                <w:i w:val="0"/>
                <w:color w:val="000000"/>
                <w:sz w:val="18"/>
              </w:rPr>
              <w:t>Público</w:t>
            </w:r>
          </w:p>
        </w:tc>
        <w:tc>
          <w:tcPr>
            <w:tcW w:type="dxa" w:w="6690"/>
          </w:tcPr>
          <w:p>
            <w:pPr>
              <w:spacing w:line="240" w:lineRule="auto" w:after="40" w:before="40"/>
            </w:pPr>
            <w:r>
              <w:rPr>
                <w:rFonts w:ascii="Arial" w:hAnsi="Arial" w:eastAsia="Arial"/>
                <w:b w:val="0"/>
                <w:i w:val="0"/>
                <w:color w:val="000000"/>
                <w:sz w:val="18"/>
              </w:rPr>
              <w:t>Atletas amateurs que entrenan varias veces por semana, alcanzados por la difusión orgánica en Instagram y TikTok y por el algoritmo de esas plataformas más allá de la red propia.</w:t>
            </w:r>
          </w:p>
        </w:tc>
      </w:tr>
      <w:tr>
        <w:tc>
          <w:tcPr>
            <w:tcW w:type="dxa" w:w="1814"/>
          </w:tcPr>
          <w:p>
            <w:pPr>
              <w:spacing w:line="240" w:lineRule="auto" w:after="40" w:before="40"/>
            </w:pPr>
            <w:r>
              <w:rPr>
                <w:rFonts w:ascii="Arial" w:hAnsi="Arial" w:eastAsia="Arial"/>
                <w:b w:val="0"/>
                <w:i w:val="0"/>
                <w:color w:val="000000"/>
                <w:sz w:val="18"/>
              </w:rPr>
              <w:t>Contenido</w:t>
            </w:r>
          </w:p>
        </w:tc>
        <w:tc>
          <w:tcPr>
            <w:tcW w:type="dxa" w:w="6690"/>
          </w:tcPr>
          <w:p>
            <w:pPr>
              <w:spacing w:line="240" w:lineRule="auto" w:after="40" w:before="40"/>
            </w:pPr>
            <w:r>
              <w:rPr>
                <w:rFonts w:ascii="Arial" w:hAnsi="Arial" w:eastAsia="Arial"/>
                <w:b w:val="0"/>
                <w:i w:val="0"/>
                <w:color w:val="000000"/>
                <w:sz w:val="18"/>
              </w:rPr>
              <w:t>Video vertical de lanzamiento sobre el producto real, más una landing de siete bloques que construye el problema antes de mostrar la solución.</w:t>
            </w:r>
          </w:p>
        </w:tc>
      </w:tr>
      <w:tr>
        <w:tc>
          <w:tcPr>
            <w:tcW w:type="dxa" w:w="1814"/>
          </w:tcPr>
          <w:p>
            <w:pPr>
              <w:spacing w:line="240" w:lineRule="auto" w:after="40" w:before="40"/>
            </w:pPr>
            <w:r>
              <w:rPr>
                <w:rFonts w:ascii="Arial" w:hAnsi="Arial" w:eastAsia="Arial"/>
                <w:b w:val="0"/>
                <w:i w:val="0"/>
                <w:color w:val="000000"/>
                <w:sz w:val="18"/>
              </w:rPr>
              <w:t>Canal</w:t>
            </w:r>
          </w:p>
        </w:tc>
        <w:tc>
          <w:tcPr>
            <w:tcW w:type="dxa" w:w="6690"/>
          </w:tcPr>
          <w:p>
            <w:pPr>
              <w:spacing w:line="240" w:lineRule="auto" w:after="40" w:before="40"/>
            </w:pPr>
            <w:r>
              <w:rPr>
                <w:rFonts w:ascii="Arial" w:hAnsi="Arial" w:eastAsia="Arial"/>
                <w:b w:val="0"/>
                <w:i w:val="0"/>
                <w:color w:val="000000"/>
                <w:sz w:val="18"/>
              </w:rPr>
              <w:t>Instagram, en colaboración entre la cuenta personal y la cuenta de marca, y TikTok, con el enlace a la landing en el perfil.</w:t>
            </w:r>
          </w:p>
        </w:tc>
      </w:tr>
      <w:tr>
        <w:tc>
          <w:tcPr>
            <w:tcW w:type="dxa" w:w="1814"/>
          </w:tcPr>
          <w:p>
            <w:pPr>
              <w:spacing w:line="240" w:lineRule="auto" w:after="40" w:before="40"/>
            </w:pPr>
            <w:r>
              <w:rPr>
                <w:rFonts w:ascii="Arial" w:hAnsi="Arial" w:eastAsia="Arial"/>
                <w:b w:val="0"/>
                <w:i w:val="0"/>
                <w:color w:val="000000"/>
                <w:sz w:val="18"/>
              </w:rPr>
              <w:t>CTA</w:t>
            </w:r>
          </w:p>
        </w:tc>
        <w:tc>
          <w:tcPr>
            <w:tcW w:type="dxa" w:w="6690"/>
          </w:tcPr>
          <w:p>
            <w:pPr>
              <w:spacing w:line="240" w:lineRule="auto" w:after="40" w:before="40"/>
            </w:pPr>
            <w:r>
              <w:rPr>
                <w:rFonts w:ascii="Arial" w:hAnsi="Arial" w:eastAsia="Arial"/>
                <w:b w:val="0"/>
                <w:i w:val="0"/>
                <w:color w:val="000000"/>
                <w:sz w:val="18"/>
              </w:rPr>
              <w:t>“Anotarme a la lista”, disponible al comienzo de la página y repetido en el bloque de precio, que lleva al formulario de lista de espera.</w:t>
            </w:r>
          </w:p>
        </w:tc>
      </w:tr>
      <w:tr>
        <w:tc>
          <w:tcPr>
            <w:tcW w:type="dxa" w:w="1814"/>
          </w:tcPr>
          <w:p>
            <w:pPr>
              <w:spacing w:line="240" w:lineRule="auto" w:after="40" w:before="40"/>
            </w:pPr>
            <w:r>
              <w:rPr>
                <w:rFonts w:ascii="Arial" w:hAnsi="Arial" w:eastAsia="Arial"/>
                <w:b w:val="0"/>
                <w:i w:val="0"/>
                <w:color w:val="000000"/>
                <w:sz w:val="18"/>
              </w:rPr>
              <w:t>Resultado esperado</w:t>
            </w:r>
          </w:p>
        </w:tc>
        <w:tc>
          <w:tcPr>
            <w:tcW w:type="dxa" w:w="6690"/>
          </w:tcPr>
          <w:p>
            <w:pPr>
              <w:spacing w:line="240" w:lineRule="auto" w:after="40" w:before="40"/>
            </w:pPr>
            <w:r>
              <w:rPr>
                <w:rFonts w:ascii="Arial" w:hAnsi="Arial" w:eastAsia="Arial"/>
                <w:b w:val="0"/>
                <w:i w:val="0"/>
                <w:color w:val="000000"/>
                <w:sz w:val="18"/>
              </w:rPr>
              <w:t>Una dirección de correo dejada después de leer el precio, antes de que el producto esté abierto, como evidencia de interés real en la propuesta de valor y de que US$10 por mes no expulsa.</w:t>
            </w:r>
          </w:p>
        </w:tc>
      </w:tr>
    </w:tbl>
    <w:p>
      <w:pPr>
        <w:spacing w:after="0"/>
      </w:pPr>
    </w:p>
    <w:p>
      <w:pPr>
        <w:spacing w:line="240" w:lineRule="auto" w:before="40" w:after="240"/>
        <w:jc w:val="center"/>
      </w:pPr>
      <w:r>
        <w:rPr>
          <w:rFonts w:ascii="Arial" w:hAnsi="Arial" w:eastAsia="Arial"/>
          <w:b w:val="0"/>
          <w:i/>
          <w:color w:val="000000"/>
          <w:sz w:val="20"/>
        </w:rPr>
        <w:t>Tabla 2. Flow del experimento en los cinco pasos del framework.</w:t>
      </w:r>
    </w:p>
    <w:p>
      <w:pPr>
        <w:keepNext/>
        <w:spacing w:line="300" w:lineRule="auto" w:after="120"/>
      </w:pPr>
      <w:r>
        <w:br w:type="page"/>
      </w:r>
      <w:r>
        <w:rPr>
          <w:rFonts w:ascii="Arial" w:hAnsi="Arial" w:eastAsia="Arial"/>
          <w:b/>
          <w:i w:val="0"/>
          <w:color w:val="000000"/>
          <w:sz w:val="32"/>
        </w:rPr>
        <w:t>5. Evidencia empírica de validación</w:t>
      </w:r>
    </w:p>
    <w:p>
      <w:pPr>
        <w:spacing w:line="360" w:lineRule="auto" w:after="160"/>
        <w:jc w:val="both"/>
      </w:pPr>
      <w:r>
        <w:rPr>
          <w:rFonts w:ascii="Arial" w:hAnsi="Arial" w:eastAsia="Arial"/>
          <w:b w:val="0"/>
          <w:i w:val="0"/>
          <w:color w:val="000000"/>
          <w:sz w:val="24"/>
        </w:rPr>
        <w:t>El experimento se corrió en la última semana de agosto de 2026. La landing quedó publicada el 27 de agosto y el video se subió el [completar] de agosto. Las cifras que siguen corresponden a las primeras cuarenta y ocho horas desde la publicación, que es la ventana en la que se agotó prácticamente todo el tráfico.</w:t>
      </w:r>
    </w:p>
    <w:p>
      <w:pPr>
        <w:keepNext/>
        <w:spacing w:line="360" w:lineRule="auto" w:before="160" w:after="40"/>
      </w:pPr>
      <w:r>
        <w:rPr>
          <w:rFonts w:ascii="Arial" w:hAnsi="Arial" w:eastAsia="Arial"/>
          <w:b/>
          <w:i w:val="0"/>
          <w:color w:val="000000"/>
          <w:sz w:val="24"/>
        </w:rPr>
        <w:t>5.1 Alcance y embudo</w:t>
      </w:r>
    </w:p>
    <w:p>
      <w:pPr>
        <w:spacing w:line="360" w:lineRule="auto" w:after="160"/>
        <w:jc w:val="both"/>
      </w:pPr>
      <w:r>
        <w:rPr>
          <w:rFonts w:ascii="Arial" w:hAnsi="Arial" w:eastAsia="Arial"/>
          <w:b w:val="0"/>
          <w:i w:val="0"/>
          <w:color w:val="000000"/>
          <w:sz w:val="24"/>
        </w:rPr>
        <w:t>El video acumuló 7.266 reproducciones, con 136 me gusta, 39 comentarios, 46 compartidos y 11 reposteos. La proporción entre esos números importa tanto como el volumen: una publicación que genera un comentario cada tres me gusta y que se comparte casi tantas veces como se comenta indica que el contenido se discutió y se pasó a terceros, y no sólo que se reaccionó por cortesía. Las otras publicaciones de la cuenta, subidas en el mismo período y sin colaboración, quedaron en 508 y 365 reproducciones, lo que da la medida de cuánto aportó el alcance prestado de la cuenta personal. La cuenta de marca, creada sin ningún seguidor, terminó la ventana con 76. Es un número modesto en términos absolutos y significativo en términos de método, porque son 76 personas que no seguían nada de Scala y decidieron hacerlo después de ver la pieza. A eso se sumó una señal no prevista: una marca de suplementación deportiva escribió por interés comercial a partir del video, lo que sugiere que la propuesta se leyó como un proyecto real y no como un ejercicio.</w:t>
      </w:r>
    </w:p>
    <w:p>
      <w:pPr>
        <w:spacing w:line="360" w:lineRule="auto" w:after="160"/>
        <w:jc w:val="both"/>
      </w:pPr>
      <w:r>
        <w:rPr>
          <w:rFonts w:ascii="Arial" w:hAnsi="Arial" w:eastAsia="Arial"/>
          <w:b w:val="0"/>
          <w:i w:val="0"/>
          <w:color w:val="000000"/>
          <w:sz w:val="24"/>
        </w:rPr>
        <w:t>De ese alcance, 179 visitantes únicos entraron a la landing. Del total, 132 llegaron al bloque de precio, es decir el 73,7%; 129 llegaron al formulario, el 72,1% del total y el 97,7% del paso anterior; y 111 completaron el alta, el 62,0% de todos los visitantes y el 86,0% de los que llegaron al formulario. Medido sobre quienes efectivamente leyeron el precio, el 84,1% dejó su dirección de correo.</w:t>
      </w:r>
    </w:p>
    <w:p>
      <w:pPr>
        <w:spacing w:line="360" w:lineRule="auto" w:after="160"/>
        <w:jc w:val="both"/>
      </w:pPr>
      <w:r>
        <w:rPr>
          <w:rFonts w:ascii="Arial" w:hAnsi="Arial" w:eastAsia="Arial"/>
          <w:b w:val="0"/>
          <w:i w:val="0"/>
          <w:color w:val="000000"/>
          <w:sz w:val="24"/>
        </w:rPr>
        <w:t>Cada escalón dice algo distinto. La caída más grande está al principio, entre la entrada y el precio, donde uno de cada cuatro visitantes abandona antes de llegar a la mitad de la página. Es el desgranamiento normal de cualquier landing larga y el único punto del recorrido con margen de optimización evidente. El segundo escalón es prácticamente inexistente: entre el precio y el formulario se pierde el 2,3%, lo que significa que leer US$10 por mes casi no hizo abandonar a nadie. Y el tercero retiene al 86%, una cifra alta para un formulario que pide un dato personal a cambio de un producto que todavía no se puede usar.</w:t>
      </w:r>
    </w:p>
    <w:p>
      <w:pPr>
        <w:keepNext/>
        <w:spacing w:line="360" w:lineRule="auto" w:before="160" w:after="40"/>
      </w:pPr>
      <w:r>
        <w:rPr>
          <w:rFonts w:ascii="Arial" w:hAnsi="Arial" w:eastAsia="Arial"/>
          <w:b/>
          <w:i w:val="0"/>
          <w:color w:val="000000"/>
          <w:sz w:val="24"/>
        </w:rPr>
        <w:t>5.2 Resultados contra criterios</w:t>
      </w:r>
    </w:p>
    <w:tbl>
      <w:tblPr>
        <w:tblStyle w:val="TableGrid"/>
        <w:tblW w:type="auto" w:w="0"/>
        <w:jc w:val="center"/>
        <w:tblLayout w:type="fixed"/>
        <w:tblLook w:firstColumn="1" w:firstRow="1" w:lastColumn="0" w:lastRow="0" w:noHBand="0" w:noVBand="1" w:val="04A0"/>
        <w:tblLayout w:type="fixed"/>
      </w:tblPr>
      <w:tblGrid>
        <w:gridCol w:w="2126"/>
        <w:gridCol w:w="2126"/>
        <w:gridCol w:w="2126"/>
        <w:gridCol w:w="2126"/>
      </w:tblGrid>
      <w:tr>
        <w:trPr>
          <w:tblHeader w:val="true"/>
        </w:trPr>
        <w:tc>
          <w:tcPr>
            <w:tcW w:type="dxa" w:w="2438"/>
          </w:tcPr>
          <w:p>
            <w:pPr>
              <w:spacing w:line="240" w:lineRule="auto" w:after="40" w:before="40"/>
            </w:pPr>
            <w:r>
              <w:rPr>
                <w:rFonts w:ascii="Arial" w:hAnsi="Arial" w:eastAsia="Arial"/>
                <w:b/>
                <w:i w:val="0"/>
                <w:color w:val="000000"/>
                <w:sz w:val="18"/>
              </w:rPr>
              <w:t>Métrica</w:t>
            </w:r>
          </w:p>
        </w:tc>
        <w:tc>
          <w:tcPr>
            <w:tcW w:type="dxa" w:w="1984"/>
          </w:tcPr>
          <w:p>
            <w:pPr>
              <w:spacing w:line="240" w:lineRule="auto" w:after="40" w:before="40"/>
            </w:pPr>
            <w:r>
              <w:rPr>
                <w:rFonts w:ascii="Arial" w:hAnsi="Arial" w:eastAsia="Arial"/>
                <w:b/>
                <w:i w:val="0"/>
                <w:color w:val="000000"/>
                <w:sz w:val="18"/>
              </w:rPr>
              <w:t>Criterio fijado de antemano</w:t>
            </w:r>
          </w:p>
        </w:tc>
        <w:tc>
          <w:tcPr>
            <w:tcW w:type="dxa" w:w="2381"/>
          </w:tcPr>
          <w:p>
            <w:pPr>
              <w:spacing w:line="240" w:lineRule="auto" w:after="40" w:before="40"/>
            </w:pPr>
            <w:r>
              <w:rPr>
                <w:rFonts w:ascii="Arial" w:hAnsi="Arial" w:eastAsia="Arial"/>
                <w:b/>
                <w:i w:val="0"/>
                <w:color w:val="000000"/>
                <w:sz w:val="18"/>
              </w:rPr>
              <w:t>Resultado obtenido</w:t>
            </w:r>
          </w:p>
        </w:tc>
        <w:tc>
          <w:tcPr>
            <w:tcW w:type="dxa" w:w="1701"/>
          </w:tcPr>
          <w:p>
            <w:pPr>
              <w:spacing w:line="240" w:lineRule="auto" w:after="40" w:before="40"/>
            </w:pPr>
            <w:r>
              <w:rPr>
                <w:rFonts w:ascii="Arial" w:hAnsi="Arial" w:eastAsia="Arial"/>
                <w:b/>
                <w:i w:val="0"/>
                <w:color w:val="000000"/>
                <w:sz w:val="18"/>
              </w:rPr>
              <w:t>Estado</w:t>
            </w:r>
          </w:p>
        </w:tc>
      </w:tr>
      <w:tr>
        <w:tc>
          <w:tcPr>
            <w:tcW w:type="dxa" w:w="2438"/>
          </w:tcPr>
          <w:p>
            <w:pPr>
              <w:spacing w:line="240" w:lineRule="auto" w:after="40" w:before="40"/>
            </w:pPr>
            <w:r>
              <w:rPr>
                <w:rFonts w:ascii="Arial" w:hAnsi="Arial" w:eastAsia="Arial"/>
                <w:b w:val="0"/>
                <w:i w:val="0"/>
                <w:color w:val="000000"/>
                <w:sz w:val="18"/>
              </w:rPr>
              <w:t>Tasa de clic sobre el alcance</w:t>
            </w:r>
          </w:p>
        </w:tc>
        <w:tc>
          <w:tcPr>
            <w:tcW w:type="dxa" w:w="1984"/>
          </w:tcPr>
          <w:p>
            <w:pPr>
              <w:spacing w:line="240" w:lineRule="auto" w:after="40" w:before="40"/>
            </w:pPr>
            <w:r>
              <w:rPr>
                <w:rFonts w:ascii="Arial" w:hAnsi="Arial" w:eastAsia="Arial"/>
                <w:b w:val="0"/>
                <w:i w:val="0"/>
                <w:color w:val="000000"/>
                <w:sz w:val="18"/>
              </w:rPr>
              <w:t>Mayor al 5%</w:t>
            </w:r>
          </w:p>
        </w:tc>
        <w:tc>
          <w:tcPr>
            <w:tcW w:type="dxa" w:w="2381"/>
          </w:tcPr>
          <w:p>
            <w:pPr>
              <w:spacing w:line="240" w:lineRule="auto" w:after="40" w:before="40"/>
            </w:pPr>
            <w:r>
              <w:rPr>
                <w:rFonts w:ascii="Arial" w:hAnsi="Arial" w:eastAsia="Arial"/>
                <w:b w:val="0"/>
                <w:i w:val="0"/>
                <w:color w:val="000000"/>
                <w:sz w:val="18"/>
              </w:rPr>
              <w:t>2,5% (179 sobre 7.266)</w:t>
            </w:r>
          </w:p>
        </w:tc>
        <w:tc>
          <w:tcPr>
            <w:tcW w:type="dxa" w:w="1701"/>
          </w:tcPr>
          <w:p>
            <w:pPr>
              <w:spacing w:line="240" w:lineRule="auto" w:after="40" w:before="40"/>
            </w:pPr>
            <w:r>
              <w:rPr>
                <w:rFonts w:ascii="Arial" w:hAnsi="Arial" w:eastAsia="Arial"/>
                <w:b w:val="0"/>
                <w:i w:val="0"/>
                <w:color w:val="000000"/>
                <w:sz w:val="18"/>
              </w:rPr>
              <w:t>No alcanzado</w:t>
            </w:r>
          </w:p>
        </w:tc>
      </w:tr>
      <w:tr>
        <w:tc>
          <w:tcPr>
            <w:tcW w:type="dxa" w:w="2438"/>
          </w:tcPr>
          <w:p>
            <w:pPr>
              <w:spacing w:line="240" w:lineRule="auto" w:after="40" w:before="40"/>
            </w:pPr>
            <w:r>
              <w:rPr>
                <w:rFonts w:ascii="Arial" w:hAnsi="Arial" w:eastAsia="Arial"/>
                <w:b w:val="0"/>
                <w:i w:val="0"/>
                <w:color w:val="000000"/>
                <w:sz w:val="18"/>
              </w:rPr>
              <w:t>Conversión de visitante a lead</w:t>
            </w:r>
          </w:p>
        </w:tc>
        <w:tc>
          <w:tcPr>
            <w:tcW w:type="dxa" w:w="1984"/>
          </w:tcPr>
          <w:p>
            <w:pPr>
              <w:spacing w:line="240" w:lineRule="auto" w:after="40" w:before="40"/>
            </w:pPr>
            <w:r>
              <w:rPr>
                <w:rFonts w:ascii="Arial" w:hAnsi="Arial" w:eastAsia="Arial"/>
                <w:b w:val="0"/>
                <w:i w:val="0"/>
                <w:color w:val="000000"/>
                <w:sz w:val="18"/>
              </w:rPr>
              <w:t>Mayor al 15%</w:t>
            </w:r>
          </w:p>
        </w:tc>
        <w:tc>
          <w:tcPr>
            <w:tcW w:type="dxa" w:w="2381"/>
          </w:tcPr>
          <w:p>
            <w:pPr>
              <w:spacing w:line="240" w:lineRule="auto" w:after="40" w:before="40"/>
            </w:pPr>
            <w:r>
              <w:rPr>
                <w:rFonts w:ascii="Arial" w:hAnsi="Arial" w:eastAsia="Arial"/>
                <w:b w:val="0"/>
                <w:i w:val="0"/>
                <w:color w:val="000000"/>
                <w:sz w:val="18"/>
              </w:rPr>
              <w:t>62,0% (111 sobre 179)</w:t>
            </w:r>
          </w:p>
        </w:tc>
        <w:tc>
          <w:tcPr>
            <w:tcW w:type="dxa" w:w="1701"/>
          </w:tcPr>
          <w:p>
            <w:pPr>
              <w:spacing w:line="240" w:lineRule="auto" w:after="40" w:before="40"/>
            </w:pPr>
            <w:r>
              <w:rPr>
                <w:rFonts w:ascii="Arial" w:hAnsi="Arial" w:eastAsia="Arial"/>
                <w:b w:val="0"/>
                <w:i w:val="0"/>
                <w:color w:val="000000"/>
                <w:sz w:val="18"/>
              </w:rPr>
              <w:t>Superado</w:t>
            </w:r>
          </w:p>
        </w:tc>
      </w:tr>
      <w:tr>
        <w:tc>
          <w:tcPr>
            <w:tcW w:type="dxa" w:w="2438"/>
          </w:tcPr>
          <w:p>
            <w:pPr>
              <w:spacing w:line="240" w:lineRule="auto" w:after="40" w:before="40"/>
            </w:pPr>
            <w:r>
              <w:rPr>
                <w:rFonts w:ascii="Arial" w:hAnsi="Arial" w:eastAsia="Arial"/>
                <w:b w:val="0"/>
                <w:i w:val="0"/>
                <w:color w:val="000000"/>
                <w:sz w:val="18"/>
              </w:rPr>
              <w:t>Volumen de leads</w:t>
            </w:r>
          </w:p>
        </w:tc>
        <w:tc>
          <w:tcPr>
            <w:tcW w:type="dxa" w:w="1984"/>
          </w:tcPr>
          <w:p>
            <w:pPr>
              <w:spacing w:line="240" w:lineRule="auto" w:after="40" w:before="40"/>
            </w:pPr>
            <w:r>
              <w:rPr>
                <w:rFonts w:ascii="Arial" w:hAnsi="Arial" w:eastAsia="Arial"/>
                <w:b w:val="0"/>
                <w:i w:val="0"/>
                <w:color w:val="000000"/>
                <w:sz w:val="18"/>
              </w:rPr>
              <w:t>Mínimo de 25</w:t>
            </w:r>
          </w:p>
        </w:tc>
        <w:tc>
          <w:tcPr>
            <w:tcW w:type="dxa" w:w="2381"/>
          </w:tcPr>
          <w:p>
            <w:pPr>
              <w:spacing w:line="240" w:lineRule="auto" w:after="40" w:before="40"/>
            </w:pPr>
            <w:r>
              <w:rPr>
                <w:rFonts w:ascii="Arial" w:hAnsi="Arial" w:eastAsia="Arial"/>
                <w:b w:val="0"/>
                <w:i w:val="0"/>
                <w:color w:val="000000"/>
                <w:sz w:val="18"/>
              </w:rPr>
              <w:t>111</w:t>
            </w:r>
          </w:p>
        </w:tc>
        <w:tc>
          <w:tcPr>
            <w:tcW w:type="dxa" w:w="1701"/>
          </w:tcPr>
          <w:p>
            <w:pPr>
              <w:spacing w:line="240" w:lineRule="auto" w:after="40" w:before="40"/>
            </w:pPr>
            <w:r>
              <w:rPr>
                <w:rFonts w:ascii="Arial" w:hAnsi="Arial" w:eastAsia="Arial"/>
                <w:b w:val="0"/>
                <w:i w:val="0"/>
                <w:color w:val="000000"/>
                <w:sz w:val="18"/>
              </w:rPr>
              <w:t>Superado</w:t>
            </w:r>
          </w:p>
        </w:tc>
      </w:tr>
      <w:tr>
        <w:tc>
          <w:tcPr>
            <w:tcW w:type="dxa" w:w="2438"/>
          </w:tcPr>
          <w:p>
            <w:pPr>
              <w:spacing w:line="240" w:lineRule="auto" w:after="40" w:before="40"/>
            </w:pPr>
            <w:r>
              <w:rPr>
                <w:rFonts w:ascii="Arial" w:hAnsi="Arial" w:eastAsia="Arial"/>
                <w:b w:val="0"/>
                <w:i w:val="0"/>
                <w:color w:val="000000"/>
                <w:sz w:val="18"/>
              </w:rPr>
              <w:t>Leads posteriores al precio</w:t>
            </w:r>
          </w:p>
        </w:tc>
        <w:tc>
          <w:tcPr>
            <w:tcW w:type="dxa" w:w="1984"/>
          </w:tcPr>
          <w:p>
            <w:pPr>
              <w:spacing w:line="240" w:lineRule="auto" w:after="40" w:before="40"/>
            </w:pPr>
            <w:r>
              <w:rPr>
                <w:rFonts w:ascii="Arial" w:hAnsi="Arial" w:eastAsia="Arial"/>
                <w:b w:val="0"/>
                <w:i w:val="0"/>
                <w:color w:val="000000"/>
                <w:sz w:val="18"/>
              </w:rPr>
              <w:t>100% por diseño</w:t>
            </w:r>
          </w:p>
        </w:tc>
        <w:tc>
          <w:tcPr>
            <w:tcW w:type="dxa" w:w="2381"/>
          </w:tcPr>
          <w:p>
            <w:pPr>
              <w:spacing w:line="240" w:lineRule="auto" w:after="40" w:before="40"/>
            </w:pPr>
            <w:r>
              <w:rPr>
                <w:rFonts w:ascii="Arial" w:hAnsi="Arial" w:eastAsia="Arial"/>
                <w:b w:val="0"/>
                <w:i w:val="0"/>
                <w:color w:val="000000"/>
                <w:sz w:val="18"/>
              </w:rPr>
              <w:t>111 de 111</w:t>
            </w:r>
          </w:p>
        </w:tc>
        <w:tc>
          <w:tcPr>
            <w:tcW w:type="dxa" w:w="1701"/>
          </w:tcPr>
          <w:p>
            <w:pPr>
              <w:spacing w:line="240" w:lineRule="auto" w:after="40" w:before="40"/>
            </w:pPr>
            <w:r>
              <w:rPr>
                <w:rFonts w:ascii="Arial" w:hAnsi="Arial" w:eastAsia="Arial"/>
                <w:b w:val="0"/>
                <w:i w:val="0"/>
                <w:color w:val="000000"/>
                <w:sz w:val="18"/>
              </w:rPr>
              <w:t>Cumplido</w:t>
            </w:r>
          </w:p>
        </w:tc>
      </w:tr>
    </w:tbl>
    <w:p>
      <w:pPr>
        <w:spacing w:after="0"/>
      </w:pPr>
    </w:p>
    <w:p>
      <w:pPr>
        <w:spacing w:line="240" w:lineRule="auto" w:before="40" w:after="240"/>
        <w:jc w:val="center"/>
      </w:pPr>
      <w:r>
        <w:rPr>
          <w:rFonts w:ascii="Arial" w:hAnsi="Arial" w:eastAsia="Arial"/>
          <w:b w:val="0"/>
          <w:i/>
          <w:color w:val="000000"/>
          <w:sz w:val="20"/>
        </w:rPr>
        <w:t>Tabla 3. Resultados del experimento contra los criterios de éxito definidos antes de correrlo.</w:t>
      </w:r>
    </w:p>
    <w:p>
      <w:pPr>
        <w:spacing w:line="360" w:lineRule="auto" w:after="160"/>
        <w:jc w:val="both"/>
      </w:pPr>
      <w:r>
        <w:rPr>
          <w:rFonts w:ascii="Arial" w:hAnsi="Arial" w:eastAsia="Arial"/>
          <w:b w:val="0"/>
          <w:i w:val="0"/>
          <w:color w:val="000000"/>
          <w:sz w:val="24"/>
        </w:rPr>
        <w:t>Dos de los tres criterios numéricos se superaron con holgura y uno no se alcanzó. La conversión de visitante a lead, que es la métrica que el módulo pone en el centro, cuadruplicó el umbral que nos habíamos fijado y superó veinte veces el benchmark de referencia, que es del orden del 3% para tráfico frío. El volumen de leads cuadruplicó el mínimo. La tasa de clic sobre el alcance, en cambio, quedó en la mitad del criterio.</w:t>
      </w:r>
    </w:p>
    <w:p>
      <w:pPr>
        <w:spacing w:line="360" w:lineRule="auto" w:after="160"/>
        <w:jc w:val="both"/>
      </w:pPr>
      <w:r>
        <w:rPr>
          <w:rFonts w:ascii="Arial" w:hAnsi="Arial" w:eastAsia="Arial"/>
          <w:b w:val="0"/>
          <w:i w:val="0"/>
          <w:color w:val="000000"/>
          <w:sz w:val="24"/>
        </w:rPr>
        <w:t>Ese resultado se reporta como quedó y no se reformula, pero admite una lectura precisa sobre el denominador. Una reproducción de un video corto no equivale a una apertura de correo ni a una impresión paga, porque se contabiliza a los pocos segundos de visualización y no implica atención sostenida ni intención. El camino hasta el clic, además, es largo en estas plataformas, ya que obliga a salir del video, entrar al perfil y tocar el enlace. Que el 2,5% de las reproducciones haya recorrido ese camino es, medido contra el esfuerzo que implica, un resultado razonable. Lo que el número enseña es menos sobre el producto que sobre el criterio: el umbral del 5% se calibró contra la unidad equivocada.</w:t>
      </w:r>
    </w:p>
    <w:p>
      <w:pPr>
        <w:keepNext/>
        <w:spacing w:line="360" w:lineRule="auto" w:before="160" w:after="40"/>
      </w:pPr>
      <w:r>
        <w:rPr>
          <w:rFonts w:ascii="Arial" w:hAnsi="Arial" w:eastAsia="Arial"/>
          <w:b/>
          <w:i w:val="0"/>
          <w:color w:val="000000"/>
          <w:sz w:val="24"/>
        </w:rPr>
        <w:t>5.3 Card de aprendizaje</w:t>
      </w:r>
    </w:p>
    <w:tbl>
      <w:tblPr>
        <w:tblStyle w:val="TableGrid"/>
        <w:tblW w:type="auto" w:w="0"/>
        <w:jc w:val="center"/>
        <w:tblLayout w:type="fixed"/>
        <w:tblLook w:firstColumn="1" w:firstRow="1" w:lastColumn="0" w:lastRow="0" w:noHBand="0" w:noVBand="1" w:val="04A0"/>
        <w:tblLayout w:type="fixed"/>
      </w:tblPr>
      <w:tblGrid>
        <w:gridCol w:w="4252"/>
        <w:gridCol w:w="4252"/>
      </w:tblGrid>
      <w:tr>
        <w:trPr>
          <w:tblHeader w:val="true"/>
        </w:trPr>
        <w:tc>
          <w:tcPr>
            <w:tcW w:type="dxa" w:w="2268"/>
          </w:tcPr>
          <w:p>
            <w:pPr>
              <w:spacing w:line="240" w:lineRule="auto" w:after="40" w:before="40"/>
            </w:pPr>
            <w:r>
              <w:rPr>
                <w:rFonts w:ascii="Arial" w:hAnsi="Arial" w:eastAsia="Arial"/>
                <w:b/>
                <w:i w:val="0"/>
                <w:color w:val="000000"/>
                <w:sz w:val="18"/>
              </w:rPr>
              <w:t>Campo</w:t>
            </w:r>
          </w:p>
        </w:tc>
        <w:tc>
          <w:tcPr>
            <w:tcW w:type="dxa" w:w="6236"/>
          </w:tcPr>
          <w:p>
            <w:pPr>
              <w:spacing w:line="240" w:lineRule="auto" w:after="40" w:before="40"/>
            </w:pPr>
            <w:r>
              <w:rPr>
                <w:rFonts w:ascii="Arial" w:hAnsi="Arial" w:eastAsia="Arial"/>
                <w:b/>
                <w:i w:val="0"/>
                <w:color w:val="000000"/>
                <w:sz w:val="18"/>
              </w:rPr>
              <w:t>Contenido</w:t>
            </w:r>
          </w:p>
        </w:tc>
      </w:tr>
      <w:tr>
        <w:tc>
          <w:tcPr>
            <w:tcW w:type="dxa" w:w="2268"/>
          </w:tcPr>
          <w:p>
            <w:pPr>
              <w:spacing w:line="240" w:lineRule="auto" w:after="40" w:before="40"/>
            </w:pPr>
            <w:r>
              <w:rPr>
                <w:rFonts w:ascii="Arial" w:hAnsi="Arial" w:eastAsia="Arial"/>
                <w:b w:val="0"/>
                <w:i w:val="0"/>
                <w:color w:val="000000"/>
                <w:sz w:val="18"/>
              </w:rPr>
              <w:t>1. Tipo y nombre</w:t>
            </w:r>
          </w:p>
        </w:tc>
        <w:tc>
          <w:tcPr>
            <w:tcW w:type="dxa" w:w="6236"/>
          </w:tcPr>
          <w:p>
            <w:pPr>
              <w:spacing w:line="240" w:lineRule="auto" w:after="40" w:before="40"/>
            </w:pPr>
            <w:r>
              <w:rPr>
                <w:rFonts w:ascii="Arial" w:hAnsi="Arial" w:eastAsia="Arial"/>
                <w:b w:val="0"/>
                <w:i w:val="0"/>
                <w:color w:val="000000"/>
                <w:sz w:val="18"/>
              </w:rPr>
              <w:t>Video MVP más landing page con puerta de precio. “Tu 10K empieza acá”.</w:t>
            </w:r>
          </w:p>
        </w:tc>
      </w:tr>
      <w:tr>
        <w:tc>
          <w:tcPr>
            <w:tcW w:type="dxa" w:w="2268"/>
          </w:tcPr>
          <w:p>
            <w:pPr>
              <w:spacing w:line="240" w:lineRule="auto" w:after="40" w:before="40"/>
            </w:pPr>
            <w:r>
              <w:rPr>
                <w:rFonts w:ascii="Arial" w:hAnsi="Arial" w:eastAsia="Arial"/>
                <w:b w:val="0"/>
                <w:i w:val="0"/>
                <w:color w:val="000000"/>
                <w:sz w:val="18"/>
              </w:rPr>
              <w:t>2. Hipótesis: creíamos que…</w:t>
            </w:r>
          </w:p>
        </w:tc>
        <w:tc>
          <w:tcPr>
            <w:tcW w:type="dxa" w:w="6236"/>
          </w:tcPr>
          <w:p>
            <w:pPr>
              <w:spacing w:line="240" w:lineRule="auto" w:after="40" w:before="40"/>
            </w:pPr>
            <w:r>
              <w:rPr>
                <w:rFonts w:ascii="Arial" w:hAnsi="Arial" w:eastAsia="Arial"/>
                <w:b w:val="0"/>
                <w:i w:val="0"/>
                <w:color w:val="000000"/>
                <w:sz w:val="18"/>
              </w:rPr>
              <w:t>Creíamos que el atleta amateur percibe más valor en un coach que decide por él que en una app que le muestra datos, y que ese interés alcanzaría para que dejara su dirección de correo aun después de leer que el producto cuesta US$10 por mes.</w:t>
            </w:r>
          </w:p>
        </w:tc>
      </w:tr>
      <w:tr>
        <w:tc>
          <w:tcPr>
            <w:tcW w:type="dxa" w:w="2268"/>
          </w:tcPr>
          <w:p>
            <w:pPr>
              <w:spacing w:line="240" w:lineRule="auto" w:after="40" w:before="40"/>
            </w:pPr>
            <w:r>
              <w:rPr>
                <w:rFonts w:ascii="Arial" w:hAnsi="Arial" w:eastAsia="Arial"/>
                <w:b w:val="0"/>
                <w:i w:val="0"/>
                <w:color w:val="000000"/>
                <w:sz w:val="18"/>
              </w:rPr>
              <w:t>3. Observación: evidencia observada</w:t>
            </w:r>
          </w:p>
        </w:tc>
        <w:tc>
          <w:tcPr>
            <w:tcW w:type="dxa" w:w="6236"/>
          </w:tcPr>
          <w:p>
            <w:pPr>
              <w:spacing w:line="240" w:lineRule="auto" w:after="40" w:before="40"/>
            </w:pPr>
            <w:r>
              <w:rPr>
                <w:rFonts w:ascii="Arial" w:hAnsi="Arial" w:eastAsia="Arial"/>
                <w:b w:val="0"/>
                <w:i w:val="0"/>
                <w:color w:val="000000"/>
                <w:sz w:val="18"/>
              </w:rPr>
              <w:t>7.266 reproducciones en 48 horas · 136 me gusta, 39 comentarios, 46 compartidos, 11 reposteos · 179 visitantes únicos a la landing (2,5% del alcance) · 132 llegaron al precio (73,7%) · 129 al formulario (72,1%) · 111 altas (62,0% del total; 84,1% de los que leyeron el precio) · 76 seguidores nuevos en una cuenta creada desde cero · un contacto comercial inbound de una marca de suplementación.</w:t>
            </w:r>
          </w:p>
        </w:tc>
      </w:tr>
      <w:tr>
        <w:tc>
          <w:tcPr>
            <w:tcW w:type="dxa" w:w="2268"/>
          </w:tcPr>
          <w:p>
            <w:pPr>
              <w:spacing w:line="240" w:lineRule="auto" w:after="40" w:before="40"/>
            </w:pPr>
            <w:r>
              <w:rPr>
                <w:rFonts w:ascii="Arial" w:hAnsi="Arial" w:eastAsia="Arial"/>
                <w:b w:val="0"/>
                <w:i w:val="0"/>
                <w:color w:val="000000"/>
                <w:sz w:val="18"/>
              </w:rPr>
              <w:t>4. Aprendizajes e insights</w:t>
            </w:r>
          </w:p>
        </w:tc>
        <w:tc>
          <w:tcPr>
            <w:tcW w:type="dxa" w:w="6236"/>
          </w:tcPr>
          <w:p>
            <w:pPr>
              <w:spacing w:line="240" w:lineRule="auto" w:after="40" w:before="40"/>
            </w:pPr>
            <w:r>
              <w:rPr>
                <w:rFonts w:ascii="Arial" w:hAnsi="Arial" w:eastAsia="Arial"/>
                <w:b w:val="0"/>
                <w:i w:val="0"/>
                <w:color w:val="000000"/>
                <w:sz w:val="18"/>
              </w:rPr>
              <w:t>La propuesta convierte con una fuerza inusual cuando se la entiende, y el precio de US$10 no funciona como filtro: entre el bloque de precio y el formulario se pierde apenas el 2,3%. La restricción del negocio, en esta etapa, no es el valor sino la distribución, porque la única caída relevante del embudo está antes del precio y el volumen total depende del alcance. El criterio de clic estaba calibrado contra la unidad equivocada, ya que una reproducción de video corto no equivale a una apertura de correo.</w:t>
            </w:r>
          </w:p>
        </w:tc>
      </w:tr>
      <w:tr>
        <w:tc>
          <w:tcPr>
            <w:tcW w:type="dxa" w:w="2268"/>
          </w:tcPr>
          <w:p>
            <w:pPr>
              <w:spacing w:line="240" w:lineRule="auto" w:after="40" w:before="40"/>
            </w:pPr>
            <w:r>
              <w:rPr>
                <w:rFonts w:ascii="Arial" w:hAnsi="Arial" w:eastAsia="Arial"/>
                <w:b w:val="0"/>
                <w:i w:val="0"/>
                <w:color w:val="000000"/>
                <w:sz w:val="18"/>
              </w:rPr>
              <w:t>5. Decisiones y acciones: qué haremos</w:t>
            </w:r>
          </w:p>
        </w:tc>
        <w:tc>
          <w:tcPr>
            <w:tcW w:type="dxa" w:w="6236"/>
          </w:tcPr>
          <w:p>
            <w:pPr>
              <w:spacing w:line="240" w:lineRule="auto" w:after="40" w:before="40"/>
            </w:pPr>
            <w:r>
              <w:rPr>
                <w:rFonts w:ascii="Arial" w:hAnsi="Arial" w:eastAsia="Arial"/>
                <w:b w:val="0"/>
                <w:i w:val="0"/>
                <w:color w:val="000000"/>
                <w:sz w:val="18"/>
              </w:rPr>
              <w:t>Sostener la propuesta de valor y el precio tal como están, porque ninguno de los dos quedó refutado. Trabajar el tope del embudo, que es donde está el límite, con una cadencia regular de publicaciones sobre la cuenta de marca. Y convertir los 111 inscriptos en una cohorte de uso real, que es la única forma de medir permanencia y confianza sostenida.</w:t>
            </w:r>
          </w:p>
        </w:tc>
      </w:tr>
    </w:tbl>
    <w:p>
      <w:pPr>
        <w:spacing w:after="0"/>
      </w:pPr>
    </w:p>
    <w:p>
      <w:pPr>
        <w:spacing w:line="240" w:lineRule="auto" w:before="40" w:after="240"/>
        <w:jc w:val="center"/>
      </w:pPr>
      <w:r>
        <w:rPr>
          <w:rFonts w:ascii="Arial" w:hAnsi="Arial" w:eastAsia="Arial"/>
          <w:b w:val="0"/>
          <w:i/>
          <w:color w:val="000000"/>
          <w:sz w:val="20"/>
        </w:rPr>
        <w:t>Tabla 4. Card de aprendizaje, completada al cierre del experimento.</w:t>
      </w:r>
    </w:p>
    <w:p>
      <w:pPr>
        <w:keepNext/>
        <w:spacing w:line="300" w:lineRule="auto" w:after="120"/>
      </w:pPr>
      <w:r>
        <w:br w:type="page"/>
      </w:r>
      <w:r>
        <w:rPr>
          <w:rFonts w:ascii="Arial" w:hAnsi="Arial" w:eastAsia="Arial"/>
          <w:b/>
          <w:i w:val="0"/>
          <w:color w:val="000000"/>
          <w:sz w:val="32"/>
        </w:rPr>
        <w:t>6. Principales puntos de validación</w:t>
      </w:r>
    </w:p>
    <w:p>
      <w:pPr>
        <w:spacing w:line="360" w:lineRule="auto" w:after="160"/>
        <w:jc w:val="both"/>
      </w:pPr>
      <w:r>
        <w:rPr>
          <w:rFonts w:ascii="Arial" w:hAnsi="Arial" w:eastAsia="Arial"/>
          <w:b w:val="0"/>
          <w:i w:val="0"/>
          <w:color w:val="000000"/>
          <w:sz w:val="24"/>
        </w:rPr>
        <w:t>El checklist del módulo pide responder cuatro puntos concretos. Se responden uno por uno, con el número y con su n al lado.</w:t>
      </w:r>
    </w:p>
    <w:p>
      <w:pPr>
        <w:spacing w:line="360" w:lineRule="auto" w:after="160"/>
        <w:jc w:val="both"/>
      </w:pPr>
      <w:r>
        <w:rPr>
          <w:rFonts w:ascii="Arial" w:hAnsi="Arial" w:eastAsia="Arial"/>
          <w:b/>
          <w:i w:val="0"/>
          <w:color w:val="000000"/>
          <w:sz w:val="24"/>
        </w:rPr>
        <w:t>Porcentaje de aceptación.</w:t>
      </w:r>
      <w:r>
        <w:rPr>
          <w:rFonts w:ascii="Arial" w:hAnsi="Arial" w:eastAsia="Arial"/>
          <w:b w:val="0"/>
          <w:i w:val="0"/>
          <w:color w:val="000000"/>
          <w:sz w:val="24"/>
        </w:rPr>
        <w:t xml:space="preserve"> El 62,0% de los visitantes de la landing (111 sobre 179) dejó su dirección de correo, y medido sobre quienes leyeron el precio la aceptación sube al 84,1% (111 sobre 132). Es evidencia fuerte en términos de tasa y limitada en términos de volumen: 179 visitantes alcanzan para que el ratio signifique algo y son pocos para proyectar un mercado. La referencia del módulo es una conversión del orden del 3% con tráfico frío.</w:t>
      </w:r>
    </w:p>
    <w:p>
      <w:pPr>
        <w:spacing w:line="360" w:lineRule="auto" w:after="160"/>
        <w:jc w:val="both"/>
      </w:pPr>
      <w:r>
        <w:rPr>
          <w:rFonts w:ascii="Arial" w:hAnsi="Arial" w:eastAsia="Arial"/>
          <w:b/>
          <w:i w:val="0"/>
          <w:color w:val="000000"/>
          <w:sz w:val="24"/>
        </w:rPr>
        <w:t>Disposición a pagar.</w:t>
      </w:r>
      <w:r>
        <w:rPr>
          <w:rFonts w:ascii="Arial" w:hAnsi="Arial" w:eastAsia="Arial"/>
          <w:b w:val="0"/>
          <w:i w:val="0"/>
          <w:color w:val="000000"/>
          <w:sz w:val="24"/>
        </w:rPr>
        <w:t xml:space="preserve"> Las 111 personas que se anotaron lo hicieron después de leer que Scala cuesta US$10 por mes, porque el bloque de precio está antes del formulario y no hay forma de llegar al segundo sin pasar por el primero. Es la señal central del experimento y confirma, con comportamiento y no con declaración, el 72% del segmento que en la encuesta del Módulo 3 dijo que pagaría o tal vez pagaría ese monto. Corresponde declarar el límite de la señal: la página ofrece seis meses sin costo a los primeros inscriptos, de modo que lo que se midió es aceptación del precio y no acto de pago. Un mail no es plata, y así se reporta.</w:t>
      </w:r>
    </w:p>
    <w:p>
      <w:pPr>
        <w:spacing w:line="360" w:lineRule="auto" w:after="160"/>
        <w:jc w:val="both"/>
      </w:pPr>
      <w:r>
        <w:rPr>
          <w:rFonts w:ascii="Arial" w:hAnsi="Arial" w:eastAsia="Arial"/>
          <w:b/>
          <w:i w:val="0"/>
          <w:color w:val="000000"/>
          <w:sz w:val="24"/>
        </w:rPr>
        <w:t>Frecuencia de compra.</w:t>
      </w:r>
      <w:r>
        <w:rPr>
          <w:rFonts w:ascii="Arial" w:hAnsi="Arial" w:eastAsia="Arial"/>
          <w:b w:val="0"/>
          <w:i w:val="0"/>
          <w:color w:val="000000"/>
          <w:sz w:val="24"/>
        </w:rPr>
        <w:t xml:space="preserve"> En un modelo de suscripción la frecuencia de compra es la renovación mensual y no una decisión repetida, de modo que el punto se reformula como frecuencia de uso y permanencia. Lo que el experimento muestra en esa dirección es la intensidad de la interacción con la pieza, con 46 compartidos y 39 comentarios sobre 136 me gusta. La medición propiamente dicha corresponde a una cohorte de uso sobre los 111 inscriptos.</w:t>
      </w:r>
    </w:p>
    <w:p>
      <w:pPr>
        <w:spacing w:line="360" w:lineRule="auto" w:after="160"/>
        <w:jc w:val="both"/>
      </w:pPr>
      <w:r>
        <w:rPr>
          <w:rFonts w:ascii="Arial" w:hAnsi="Arial" w:eastAsia="Arial"/>
          <w:b/>
          <w:i w:val="0"/>
          <w:color w:val="000000"/>
          <w:sz w:val="24"/>
        </w:rPr>
        <w:t>Cantidades compradas.</w:t>
      </w:r>
      <w:r>
        <w:rPr>
          <w:rFonts w:ascii="Arial" w:hAnsi="Arial" w:eastAsia="Arial"/>
          <w:b w:val="0"/>
          <w:i w:val="0"/>
          <w:color w:val="000000"/>
          <w:sz w:val="24"/>
        </w:rPr>
        <w:t xml:space="preserve"> También se reformula, porque en una suscripción la cantidad es una unidad por período y por usuario. La cifra relevante en esta etapa es la del activo generado: 111 inscriptos y 76 seguidores, en cuarenta y ocho horas y con presupuesto cero.</w:t>
      </w:r>
    </w:p>
    <w:p>
      <w:pPr>
        <w:spacing w:line="360" w:lineRule="auto" w:after="160"/>
        <w:jc w:val="both"/>
      </w:pPr>
      <w:r>
        <w:rPr>
          <w:rFonts w:ascii="Arial" w:hAnsi="Arial" w:eastAsia="Arial"/>
          <w:b w:val="0"/>
          <w:i w:val="0"/>
          <w:color w:val="000000"/>
          <w:sz w:val="24"/>
        </w:rPr>
        <w:t>El checklist agrega un quinto punto sobre proyectos de impacto social o ambiental. Scala no es un proyecto de esa naturaleza, de modo que no aplica y se deja constancia.</w:t>
      </w:r>
    </w:p>
    <w:p>
      <w:pPr>
        <w:keepNext/>
        <w:spacing w:line="300" w:lineRule="auto" w:after="120"/>
      </w:pPr>
      <w:r>
        <w:br w:type="page"/>
      </w:r>
      <w:r>
        <w:rPr>
          <w:rFonts w:ascii="Arial" w:hAnsi="Arial" w:eastAsia="Arial"/>
          <w:b/>
          <w:i w:val="0"/>
          <w:color w:val="000000"/>
          <w:sz w:val="32"/>
        </w:rPr>
        <w:t>7. Aprendizajes e iteración de la propuesta de valor</w:t>
      </w:r>
    </w:p>
    <w:p>
      <w:pPr>
        <w:spacing w:line="360" w:lineRule="auto" w:after="160"/>
        <w:jc w:val="both"/>
      </w:pPr>
      <w:r>
        <w:rPr>
          <w:rFonts w:ascii="Arial" w:hAnsi="Arial" w:eastAsia="Arial"/>
          <w:b w:val="0"/>
          <w:i w:val="0"/>
          <w:color w:val="000000"/>
          <w:sz w:val="24"/>
        </w:rPr>
        <w:t>El primer aprendizaje ordena a los demás: la propuesta de valor no fue refutada en ningún punto y el precio tampoco. Cuando alguien llega a la landing y la lee, la elige en una proporción muy alta, y leer cuánto sale prácticamente no lo hace abandonar. La consecuencia estratégica es concreta: el mapa de valor del Módulo 4 no necesita reescribirse, y el esfuerzo del proyecto no debería ir, en el corto plazo, a agregar funcionalidades ni a cambiar el encuadre del producto.</w:t>
      </w:r>
    </w:p>
    <w:p>
      <w:pPr>
        <w:spacing w:line="360" w:lineRule="auto" w:after="160"/>
        <w:jc w:val="both"/>
      </w:pPr>
      <w:r>
        <w:rPr>
          <w:rFonts w:ascii="Arial" w:hAnsi="Arial" w:eastAsia="Arial"/>
          <w:b w:val="0"/>
          <w:i w:val="0"/>
          <w:color w:val="000000"/>
          <w:sz w:val="24"/>
        </w:rPr>
        <w:t>El segundo es dónde está el límite. La única caída significativa del embudo ocurre antes del precio y el volumen total depende enteramente del alcance de una publicación, de modo que el cuello de botella del negocio hoy es la distribución y no el valor. Eso reordena la prioridad de trabajo hacia el tope del embudo: cadencia de publicación sobre la cuenta de marca, que arrancó de cero y ya demostró que capta seguidores, y búsqueda de alcance que no dependa de la red personal de los fundadores. El contacto inbound de una marca de suplementación es una pista sobre por dónde puede venir ese alcance.</w:t>
      </w:r>
    </w:p>
    <w:p>
      <w:pPr>
        <w:spacing w:line="360" w:lineRule="auto" w:after="160"/>
        <w:jc w:val="both"/>
      </w:pPr>
      <w:r>
        <w:rPr>
          <w:rFonts w:ascii="Arial" w:hAnsi="Arial" w:eastAsia="Arial"/>
          <w:b w:val="0"/>
          <w:i w:val="0"/>
          <w:color w:val="000000"/>
          <w:sz w:val="24"/>
        </w:rPr>
        <w:t>El tercero es sobre el método. Fijar un umbral de clic del 5% tomando como referencia una campaña de correo fue un error de calibración, porque la unidad de un embudo de video corto no es comparable con la de un embudo de mailing, ni en el costo de atención de cada impacto ni en la distancia entre el impacto y el clic. El criterio se mantiene reportado como se fijó, pero el próximo experimento debe fijar su umbral contra la unidad que efectivamente va a medir.</w:t>
      </w:r>
    </w:p>
    <w:p>
      <w:pPr>
        <w:spacing w:line="360" w:lineRule="auto" w:after="160"/>
        <w:jc w:val="both"/>
      </w:pPr>
      <w:r>
        <w:rPr>
          <w:rFonts w:ascii="Arial" w:hAnsi="Arial" w:eastAsia="Arial"/>
          <w:b w:val="0"/>
          <w:i w:val="0"/>
          <w:color w:val="000000"/>
          <w:sz w:val="24"/>
        </w:rPr>
        <w:t>El cuarto es la pregunta que el experimento deja abierta. El encuadre de la landing habla, sobre todo, el idioma del frente con wearable, porque el bloque inicial muestra variabilidad de la frecuencia cardíaca, sueño y un índice de readiness. El frente sin wearable, que es cerca del 65% del segmento y el mercado menos disputado, no fue interpelado en su propio lenguaje. La conversión del 62% se obtuvo entonces con la configuración de la propuesta que le habla al tercio del mercado que ya tiene dispositivo, lo que convierte al resultado en un piso y no en un techo, y deja planteado el ajuste más concreto que el experimento sugiere: una versión espejada de la landing que hable el idioma de Flor, con el mismo producto detrás y el mismo llamado a la acción, para poder comparar.</w:t>
      </w:r>
    </w:p>
    <w:p>
      <w:pPr>
        <w:spacing w:line="360" w:lineRule="auto" w:after="160"/>
        <w:jc w:val="both"/>
      </w:pPr>
      <w:r>
        <w:rPr>
          <w:rFonts w:ascii="Arial" w:hAnsi="Arial" w:eastAsia="Arial"/>
          <w:b w:val="0"/>
          <w:i w:val="0"/>
          <w:color w:val="000000"/>
          <w:sz w:val="24"/>
        </w:rPr>
        <w:t>El quinto es sobre la confianza, que el Módulo 4 identificó como el riesgo más serio, con tres objeciones relevadas en el campo: fatiga de inteligencia artificial, sesgo de complacencia de los modelos y falta de aval profesional. El experimento produjo señales tempranas y favorables, como una publicación que se comparte 46 veces y se comenta 39, una cuenta que gana 76 seguidores desde cero y un contacto comercial espontáneo, pero son señales de interés y no de confianza sostenida, que es una propiedad que se construye con el uso. Ahí está la pregunta del próximo paso: abrir el producto a una cohorte acotada de los 111 inscriptos y medir durante una semana cuántos vuelven, cuántas veces interactúan con el coach y cuántos siguen ahí al séptimo día, cerrando con entrevistas cortas que expliquen el porqué de esos números.</w:t>
      </w:r>
    </w:p>
    <w:p>
      <w:pPr>
        <w:keepNext/>
        <w:spacing w:line="300" w:lineRule="auto" w:after="120"/>
      </w:pPr>
      <w:r>
        <w:br w:type="page"/>
      </w:r>
      <w:r>
        <w:rPr>
          <w:rFonts w:ascii="Arial" w:hAnsi="Arial" w:eastAsia="Arial"/>
          <w:b/>
          <w:i w:val="0"/>
          <w:color w:val="000000"/>
          <w:sz w:val="32"/>
        </w:rPr>
        <w:t>8. Conclusión: ¿hay product-market fit?</w:t>
      </w:r>
    </w:p>
    <w:p>
      <w:pPr>
        <w:spacing w:line="360" w:lineRule="auto" w:after="160"/>
        <w:jc w:val="both"/>
      </w:pPr>
      <w:r>
        <w:rPr>
          <w:rFonts w:ascii="Arial" w:hAnsi="Arial" w:eastAsia="Arial"/>
          <w:b w:val="0"/>
          <w:i w:val="0"/>
          <w:color w:val="000000"/>
          <w:sz w:val="24"/>
        </w:rPr>
        <w:t>La respuesta honesta es que hay evidencia sólida de problem-solution fit y señales tempranas de product-market fit, y que lo segundo todavía no está probado.</w:t>
      </w:r>
    </w:p>
    <w:p>
      <w:pPr>
        <w:spacing w:line="360" w:lineRule="auto" w:after="160"/>
        <w:jc w:val="both"/>
      </w:pPr>
      <w:r>
        <w:rPr>
          <w:rFonts w:ascii="Arial" w:hAnsi="Arial" w:eastAsia="Arial"/>
          <w:b w:val="0"/>
          <w:i w:val="0"/>
          <w:color w:val="000000"/>
          <w:sz w:val="24"/>
        </w:rPr>
        <w:t>Lo que quedó demostrado es sustancial. La propuesta de valor diseñada en el Módulo 4 se entiende cuando se la comunica: 179 personas entraron a leerla y 111 dejaron su dirección de correo, una conversión del 62,0% que multiplica por veinte el benchmark de referencia del módulo. El precio no es la barrera que temíamos, porque expuesto antes de pedir nada hizo abandonar al 2,3% de quienes lo leyeron. Y la hipótesis central del proyecto, que el valor está en accionar y no en mostrar, resistió su primera prueba de mercado con costo cero y en cuarenta y ocho horas.</w:t>
      </w:r>
    </w:p>
    <w:p>
      <w:pPr>
        <w:spacing w:line="360" w:lineRule="auto" w:after="160"/>
        <w:jc w:val="both"/>
      </w:pPr>
      <w:r>
        <w:rPr>
          <w:rFonts w:ascii="Arial" w:hAnsi="Arial" w:eastAsia="Arial"/>
          <w:b w:val="0"/>
          <w:i w:val="0"/>
          <w:color w:val="000000"/>
          <w:sz w:val="24"/>
        </w:rPr>
        <w:t>Lo que falta también es claro, y es de cuatro tipos. Falta volumen, porque 179 visitantes y 111 leads alcanzan para leer una tasa y no para dimensionar un mercado. Falta tráfico frío, porque la difusión se apoyó en la red personal de uno de los fundadores y una audiencia que no debe nada al proyecto convierte distinto. Falta retención, porque nadie usó todavía el producto de manera sostenida y el fit se confirma cuando los usuarios vuelven, no cuando se anotan. Y falta cobro real, porque aceptar un precio en una página no es lo mismo que pagarlo.</w:t>
      </w:r>
    </w:p>
    <w:p>
      <w:pPr>
        <w:spacing w:line="360" w:lineRule="auto" w:after="160"/>
        <w:jc w:val="both"/>
      </w:pPr>
      <w:r>
        <w:rPr>
          <w:rFonts w:ascii="Arial" w:hAnsi="Arial" w:eastAsia="Arial"/>
          <w:b w:val="0"/>
          <w:i w:val="0"/>
          <w:color w:val="000000"/>
          <w:sz w:val="24"/>
        </w:rPr>
        <w:t>De esas cuatro deudas, las dos primeras son cuestión de escala y de tiempo; la tercera se resuelve con la cohorte de uso que propone la Sección 7; y la cuarta es la materia del Módulo 6, que toma el modelo de negocios sobre la base que este experimento dejó: una propuesta que convierte, un precio que no expulsa y una lista de 111 personas esperando probarla.</w:t>
      </w:r>
    </w:p>
    <w:p>
      <w:pPr>
        <w:keepNext/>
        <w:spacing w:line="300" w:lineRule="auto" w:after="120"/>
      </w:pPr>
      <w:r>
        <w:br w:type="page"/>
      </w:r>
      <w:r>
        <w:rPr>
          <w:rFonts w:ascii="Arial" w:hAnsi="Arial" w:eastAsia="Arial"/>
          <w:b/>
          <w:i w:val="0"/>
          <w:color w:val="000000"/>
          <w:sz w:val="32"/>
        </w:rPr>
        <w:t>Anexo A · Evidencia y enlaces</w:t>
      </w:r>
    </w:p>
    <w:p>
      <w:pPr>
        <w:spacing w:line="360" w:lineRule="auto" w:after="160"/>
        <w:jc w:val="both"/>
      </w:pPr>
      <w:r>
        <w:rPr>
          <w:rFonts w:ascii="Arial" w:hAnsi="Arial" w:eastAsia="Arial"/>
          <w:b w:val="0"/>
          <w:i w:val="0"/>
          <w:color w:val="000000"/>
          <w:sz w:val="24"/>
        </w:rPr>
        <w:t>La evidencia de este experimento es pública y consultable en vivo, de modo que se deja acá el acceso directo antes que una reproducción estática:</w:t>
      </w:r>
    </w:p>
    <w:p>
      <w:pPr>
        <w:spacing w:line="360" w:lineRule="auto" w:after="80"/>
        <w:ind w:left="340"/>
        <w:jc w:val="both"/>
      </w:pPr>
      <w:r>
        <w:rPr>
          <w:rFonts w:ascii="Arial" w:hAnsi="Arial" w:eastAsia="Arial"/>
          <w:b w:val="0"/>
          <w:i w:val="0"/>
          <w:color w:val="000000"/>
          <w:sz w:val="24"/>
        </w:rPr>
        <w:t>Cuenta de marca en Instagram: https://www.instagram.com/scala.fit</w:t>
      </w:r>
    </w:p>
    <w:p>
      <w:pPr>
        <w:spacing w:line="360" w:lineRule="auto" w:after="80"/>
        <w:ind w:left="340"/>
        <w:jc w:val="both"/>
      </w:pPr>
      <w:r>
        <w:rPr>
          <w:rFonts w:ascii="Arial" w:hAnsi="Arial" w:eastAsia="Arial"/>
          <w:b w:val="0"/>
          <w:i w:val="0"/>
          <w:color w:val="000000"/>
          <w:sz w:val="24"/>
        </w:rPr>
        <w:t>Video de lanzamiento: https://www.instagram.com/reel/DcriN21Jd4B/</w:t>
      </w:r>
    </w:p>
    <w:p>
      <w:pPr>
        <w:spacing w:line="360" w:lineRule="auto" w:after="160"/>
        <w:ind w:left="340"/>
        <w:jc w:val="both"/>
      </w:pPr>
      <w:r>
        <w:rPr>
          <w:rFonts w:ascii="Arial" w:hAnsi="Arial" w:eastAsia="Arial"/>
          <w:b w:val="0"/>
          <w:i w:val="0"/>
          <w:color w:val="000000"/>
          <w:sz w:val="24"/>
        </w:rPr>
        <w:t>Landing del experimento: https://scala.fit</w:t>
      </w:r>
    </w:p>
    <w:p>
      <w:pPr>
        <w:spacing w:line="360" w:lineRule="auto" w:after="160"/>
        <w:jc w:val="both"/>
      </w:pPr>
      <w:r>
        <w:rPr>
          <w:rFonts w:ascii="Arial" w:hAnsi="Arial" w:eastAsia="Arial"/>
          <w:b w:val="0"/>
          <w:i w:val="0"/>
          <w:color w:val="000000"/>
          <w:sz w:val="24"/>
        </w:rPr>
        <w:t>La cuenta se sigue actualizando después del cierre de esta medición, con lo cual los números públicos que se vean al momento de la lectura pueden ser superiores a los que este documento reporta. Las cifras del cuerpo corresponden a la ventana de cuarenta y ocho horas posterior a la publicación, que es el período sobre el que se fijaron los criterios.</w:t>
      </w:r>
    </w:p>
    <w:p>
      <w:pPr>
        <w:spacing w:line="360" w:lineRule="auto" w:after="160"/>
        <w:jc w:val="both"/>
      </w:pPr>
      <w:r>
        <w:rPr>
          <w:rFonts w:ascii="Arial" w:hAnsi="Arial" w:eastAsia="Arial"/>
          <w:b w:val="0"/>
          <w:i w:val="0"/>
          <w:color w:val="000000"/>
          <w:sz w:val="24"/>
        </w:rPr>
        <w:t>El detalle completo del embudo, sobre visitantes únicos, es el siguiente:</w:t>
      </w:r>
    </w:p>
    <w:tbl>
      <w:tblPr>
        <w:tblStyle w:val="TableGrid"/>
        <w:tblW w:type="auto" w:w="0"/>
        <w:jc w:val="center"/>
        <w:tblLayout w:type="fixed"/>
        <w:tblLook w:firstColumn="1" w:firstRow="1" w:lastColumn="0" w:lastRow="0" w:noHBand="0" w:noVBand="1" w:val="04A0"/>
        <w:tblLayout w:type="fixed"/>
      </w:tblPr>
      <w:tblGrid>
        <w:gridCol w:w="2126"/>
        <w:gridCol w:w="2126"/>
        <w:gridCol w:w="2126"/>
        <w:gridCol w:w="2126"/>
      </w:tblGrid>
      <w:tr>
        <w:trPr>
          <w:tblHeader w:val="true"/>
        </w:trPr>
        <w:tc>
          <w:tcPr>
            <w:tcW w:type="dxa" w:w="3061"/>
          </w:tcPr>
          <w:p>
            <w:pPr>
              <w:spacing w:line="240" w:lineRule="auto" w:after="40" w:before="40"/>
            </w:pPr>
            <w:r>
              <w:rPr>
                <w:rFonts w:ascii="Arial" w:hAnsi="Arial" w:eastAsia="Arial"/>
                <w:b/>
                <w:i w:val="0"/>
                <w:color w:val="000000"/>
                <w:sz w:val="18"/>
              </w:rPr>
              <w:t>Paso del embudo</w:t>
            </w:r>
          </w:p>
        </w:tc>
        <w:tc>
          <w:tcPr>
            <w:tcW w:type="dxa" w:w="1814"/>
          </w:tcPr>
          <w:p>
            <w:pPr>
              <w:spacing w:line="240" w:lineRule="auto" w:after="40" w:before="40"/>
            </w:pPr>
            <w:r>
              <w:rPr>
                <w:rFonts w:ascii="Arial" w:hAnsi="Arial" w:eastAsia="Arial"/>
                <w:b/>
                <w:i w:val="0"/>
                <w:color w:val="000000"/>
                <w:sz w:val="18"/>
              </w:rPr>
              <w:t>Visitantes únicos</w:t>
            </w:r>
          </w:p>
        </w:tc>
        <w:tc>
          <w:tcPr>
            <w:tcW w:type="dxa" w:w="1814"/>
          </w:tcPr>
          <w:p>
            <w:pPr>
              <w:spacing w:line="240" w:lineRule="auto" w:after="40" w:before="40"/>
            </w:pPr>
            <w:r>
              <w:rPr>
                <w:rFonts w:ascii="Arial" w:hAnsi="Arial" w:eastAsia="Arial"/>
                <w:b/>
                <w:i w:val="0"/>
                <w:color w:val="000000"/>
                <w:sz w:val="18"/>
              </w:rPr>
              <w:t>% de los que entraron</w:t>
            </w:r>
          </w:p>
        </w:tc>
        <w:tc>
          <w:tcPr>
            <w:tcW w:type="dxa" w:w="1814"/>
          </w:tcPr>
          <w:p>
            <w:pPr>
              <w:spacing w:line="240" w:lineRule="auto" w:after="40" w:before="40"/>
            </w:pPr>
            <w:r>
              <w:rPr>
                <w:rFonts w:ascii="Arial" w:hAnsi="Arial" w:eastAsia="Arial"/>
                <w:b/>
                <w:i w:val="0"/>
                <w:color w:val="000000"/>
                <w:sz w:val="18"/>
              </w:rPr>
              <w:t>% del paso anterior</w:t>
            </w:r>
          </w:p>
        </w:tc>
      </w:tr>
      <w:tr>
        <w:tc>
          <w:tcPr>
            <w:tcW w:type="dxa" w:w="3061"/>
          </w:tcPr>
          <w:p>
            <w:pPr>
              <w:spacing w:line="240" w:lineRule="auto" w:after="40" w:before="40"/>
            </w:pPr>
            <w:r>
              <w:rPr>
                <w:rFonts w:ascii="Arial" w:hAnsi="Arial" w:eastAsia="Arial"/>
                <w:b w:val="0"/>
                <w:i w:val="0"/>
                <w:color w:val="000000"/>
                <w:sz w:val="18"/>
              </w:rPr>
              <w:t>Entraron a la landing</w:t>
            </w:r>
          </w:p>
        </w:tc>
        <w:tc>
          <w:tcPr>
            <w:tcW w:type="dxa" w:w="1814"/>
          </w:tcPr>
          <w:p>
            <w:pPr>
              <w:spacing w:line="240" w:lineRule="auto" w:after="40" w:before="40"/>
            </w:pPr>
            <w:r>
              <w:rPr>
                <w:rFonts w:ascii="Arial" w:hAnsi="Arial" w:eastAsia="Arial"/>
                <w:b w:val="0"/>
                <w:i w:val="0"/>
                <w:color w:val="000000"/>
                <w:sz w:val="18"/>
              </w:rPr>
              <w:t>179</w:t>
            </w:r>
          </w:p>
        </w:tc>
        <w:tc>
          <w:tcPr>
            <w:tcW w:type="dxa" w:w="1814"/>
          </w:tcPr>
          <w:p>
            <w:pPr>
              <w:spacing w:line="240" w:lineRule="auto" w:after="40" w:before="40"/>
            </w:pPr>
            <w:r>
              <w:rPr>
                <w:rFonts w:ascii="Arial" w:hAnsi="Arial" w:eastAsia="Arial"/>
                <w:b w:val="0"/>
                <w:i w:val="0"/>
                <w:color w:val="000000"/>
                <w:sz w:val="18"/>
              </w:rPr>
              <w:t>100%</w:t>
            </w:r>
          </w:p>
        </w:tc>
        <w:tc>
          <w:tcPr>
            <w:tcW w:type="dxa" w:w="1814"/>
          </w:tcPr>
          <w:p>
            <w:pPr>
              <w:spacing w:line="240" w:lineRule="auto" w:after="40" w:before="40"/>
            </w:pPr>
            <w:r>
              <w:rPr>
                <w:rFonts w:ascii="Arial" w:hAnsi="Arial" w:eastAsia="Arial"/>
                <w:b w:val="0"/>
                <w:i w:val="0"/>
                <w:color w:val="000000"/>
                <w:sz w:val="18"/>
              </w:rPr>
              <w:t>n/a</w:t>
            </w:r>
          </w:p>
        </w:tc>
      </w:tr>
      <w:tr>
        <w:tc>
          <w:tcPr>
            <w:tcW w:type="dxa" w:w="3061"/>
          </w:tcPr>
          <w:p>
            <w:pPr>
              <w:spacing w:line="240" w:lineRule="auto" w:after="40" w:before="40"/>
            </w:pPr>
            <w:r>
              <w:rPr>
                <w:rFonts w:ascii="Arial" w:hAnsi="Arial" w:eastAsia="Arial"/>
                <w:b w:val="0"/>
                <w:i w:val="0"/>
                <w:color w:val="000000"/>
                <w:sz w:val="18"/>
              </w:rPr>
              <w:t>Llegaron al precio</w:t>
            </w:r>
          </w:p>
        </w:tc>
        <w:tc>
          <w:tcPr>
            <w:tcW w:type="dxa" w:w="1814"/>
          </w:tcPr>
          <w:p>
            <w:pPr>
              <w:spacing w:line="240" w:lineRule="auto" w:after="40" w:before="40"/>
            </w:pPr>
            <w:r>
              <w:rPr>
                <w:rFonts w:ascii="Arial" w:hAnsi="Arial" w:eastAsia="Arial"/>
                <w:b w:val="0"/>
                <w:i w:val="0"/>
                <w:color w:val="000000"/>
                <w:sz w:val="18"/>
              </w:rPr>
              <w:t>132</w:t>
            </w:r>
          </w:p>
        </w:tc>
        <w:tc>
          <w:tcPr>
            <w:tcW w:type="dxa" w:w="1814"/>
          </w:tcPr>
          <w:p>
            <w:pPr>
              <w:spacing w:line="240" w:lineRule="auto" w:after="40" w:before="40"/>
            </w:pPr>
            <w:r>
              <w:rPr>
                <w:rFonts w:ascii="Arial" w:hAnsi="Arial" w:eastAsia="Arial"/>
                <w:b w:val="0"/>
                <w:i w:val="0"/>
                <w:color w:val="000000"/>
                <w:sz w:val="18"/>
              </w:rPr>
              <w:t>73,7%</w:t>
            </w:r>
          </w:p>
        </w:tc>
        <w:tc>
          <w:tcPr>
            <w:tcW w:type="dxa" w:w="1814"/>
          </w:tcPr>
          <w:p>
            <w:pPr>
              <w:spacing w:line="240" w:lineRule="auto" w:after="40" w:before="40"/>
            </w:pPr>
            <w:r>
              <w:rPr>
                <w:rFonts w:ascii="Arial" w:hAnsi="Arial" w:eastAsia="Arial"/>
                <w:b w:val="0"/>
                <w:i w:val="0"/>
                <w:color w:val="000000"/>
                <w:sz w:val="18"/>
              </w:rPr>
              <w:t>73,7%</w:t>
            </w:r>
          </w:p>
        </w:tc>
      </w:tr>
      <w:tr>
        <w:tc>
          <w:tcPr>
            <w:tcW w:type="dxa" w:w="3061"/>
          </w:tcPr>
          <w:p>
            <w:pPr>
              <w:spacing w:line="240" w:lineRule="auto" w:after="40" w:before="40"/>
            </w:pPr>
            <w:r>
              <w:rPr>
                <w:rFonts w:ascii="Arial" w:hAnsi="Arial" w:eastAsia="Arial"/>
                <w:b w:val="0"/>
                <w:i w:val="0"/>
                <w:color w:val="000000"/>
                <w:sz w:val="18"/>
              </w:rPr>
              <w:t>Llegaron al formulario</w:t>
            </w:r>
          </w:p>
        </w:tc>
        <w:tc>
          <w:tcPr>
            <w:tcW w:type="dxa" w:w="1814"/>
          </w:tcPr>
          <w:p>
            <w:pPr>
              <w:spacing w:line="240" w:lineRule="auto" w:after="40" w:before="40"/>
            </w:pPr>
            <w:r>
              <w:rPr>
                <w:rFonts w:ascii="Arial" w:hAnsi="Arial" w:eastAsia="Arial"/>
                <w:b w:val="0"/>
                <w:i w:val="0"/>
                <w:color w:val="000000"/>
                <w:sz w:val="18"/>
              </w:rPr>
              <w:t>129</w:t>
            </w:r>
          </w:p>
        </w:tc>
        <w:tc>
          <w:tcPr>
            <w:tcW w:type="dxa" w:w="1814"/>
          </w:tcPr>
          <w:p>
            <w:pPr>
              <w:spacing w:line="240" w:lineRule="auto" w:after="40" w:before="40"/>
            </w:pPr>
            <w:r>
              <w:rPr>
                <w:rFonts w:ascii="Arial" w:hAnsi="Arial" w:eastAsia="Arial"/>
                <w:b w:val="0"/>
                <w:i w:val="0"/>
                <w:color w:val="000000"/>
                <w:sz w:val="18"/>
              </w:rPr>
              <w:t>72,1%</w:t>
            </w:r>
          </w:p>
        </w:tc>
        <w:tc>
          <w:tcPr>
            <w:tcW w:type="dxa" w:w="1814"/>
          </w:tcPr>
          <w:p>
            <w:pPr>
              <w:spacing w:line="240" w:lineRule="auto" w:after="40" w:before="40"/>
            </w:pPr>
            <w:r>
              <w:rPr>
                <w:rFonts w:ascii="Arial" w:hAnsi="Arial" w:eastAsia="Arial"/>
                <w:b w:val="0"/>
                <w:i w:val="0"/>
                <w:color w:val="000000"/>
                <w:sz w:val="18"/>
              </w:rPr>
              <w:t>97,7%</w:t>
            </w:r>
          </w:p>
        </w:tc>
      </w:tr>
      <w:tr>
        <w:tc>
          <w:tcPr>
            <w:tcW w:type="dxa" w:w="3061"/>
          </w:tcPr>
          <w:p>
            <w:pPr>
              <w:spacing w:line="240" w:lineRule="auto" w:after="40" w:before="40"/>
            </w:pPr>
            <w:r>
              <w:rPr>
                <w:rFonts w:ascii="Arial" w:hAnsi="Arial" w:eastAsia="Arial"/>
                <w:b w:val="0"/>
                <w:i w:val="0"/>
                <w:color w:val="000000"/>
                <w:sz w:val="18"/>
              </w:rPr>
              <w:t>Dejaron el correo</w:t>
            </w:r>
          </w:p>
        </w:tc>
        <w:tc>
          <w:tcPr>
            <w:tcW w:type="dxa" w:w="1814"/>
          </w:tcPr>
          <w:p>
            <w:pPr>
              <w:spacing w:line="240" w:lineRule="auto" w:after="40" w:before="40"/>
            </w:pPr>
            <w:r>
              <w:rPr>
                <w:rFonts w:ascii="Arial" w:hAnsi="Arial" w:eastAsia="Arial"/>
                <w:b w:val="0"/>
                <w:i w:val="0"/>
                <w:color w:val="000000"/>
                <w:sz w:val="18"/>
              </w:rPr>
              <w:t>111</w:t>
            </w:r>
          </w:p>
        </w:tc>
        <w:tc>
          <w:tcPr>
            <w:tcW w:type="dxa" w:w="1814"/>
          </w:tcPr>
          <w:p>
            <w:pPr>
              <w:spacing w:line="240" w:lineRule="auto" w:after="40" w:before="40"/>
            </w:pPr>
            <w:r>
              <w:rPr>
                <w:rFonts w:ascii="Arial" w:hAnsi="Arial" w:eastAsia="Arial"/>
                <w:b w:val="0"/>
                <w:i w:val="0"/>
                <w:color w:val="000000"/>
                <w:sz w:val="18"/>
              </w:rPr>
              <w:t>62,0%</w:t>
            </w:r>
          </w:p>
        </w:tc>
        <w:tc>
          <w:tcPr>
            <w:tcW w:type="dxa" w:w="1814"/>
          </w:tcPr>
          <w:p>
            <w:pPr>
              <w:spacing w:line="240" w:lineRule="auto" w:after="40" w:before="40"/>
            </w:pPr>
            <w:r>
              <w:rPr>
                <w:rFonts w:ascii="Arial" w:hAnsi="Arial" w:eastAsia="Arial"/>
                <w:b w:val="0"/>
                <w:i w:val="0"/>
                <w:color w:val="000000"/>
                <w:sz w:val="18"/>
              </w:rPr>
              <w:t>86,0%</w:t>
            </w:r>
          </w:p>
        </w:tc>
      </w:tr>
    </w:tbl>
    <w:p>
      <w:pPr>
        <w:spacing w:after="0"/>
      </w:pPr>
    </w:p>
    <w:p>
      <w:pPr>
        <w:spacing w:line="240" w:lineRule="auto" w:before="40" w:after="240"/>
        <w:jc w:val="center"/>
      </w:pPr>
      <w:r>
        <w:rPr>
          <w:rFonts w:ascii="Arial" w:hAnsi="Arial" w:eastAsia="Arial"/>
          <w:b w:val="0"/>
          <w:i/>
          <w:color w:val="000000"/>
          <w:sz w:val="20"/>
        </w:rPr>
        <w:t>Tabla 5. Embudo de la landing sobre visitantes únicos, ventana de 48 horas.</w:t>
      </w:r>
    </w:p>
    <w:p>
      <w:pPr>
        <w:spacing w:line="360" w:lineRule="auto" w:after="160"/>
        <w:jc w:val="both"/>
      </w:pPr>
      <w:r>
        <w:rPr>
          <w:rFonts w:ascii="Arial" w:hAnsi="Arial" w:eastAsia="Arial"/>
          <w:b w:val="0"/>
          <w:i w:val="0"/>
          <w:color w:val="000000"/>
          <w:sz w:val="24"/>
        </w:rPr>
        <w:t>Sobre la instrumentación: cada visitante se identifica con un código de sesión anónimo, y todos los ratios se calculan sobre visitantes únicos y no sobre impactos. El registro de pasos no contiene ningún dato personal, y las direcciones de correo se guardan por separado, con el único fin de avisar el lanzamiento, tal como el formulario declara.</w:t>
      </w:r>
    </w:p>
    <w:p>
      <w:pPr>
        <w:keepNext/>
        <w:spacing w:line="300" w:lineRule="auto" w:after="120"/>
      </w:pPr>
      <w:r>
        <w:br w:type="page"/>
      </w:r>
      <w:r>
        <w:rPr>
          <w:rFonts w:ascii="Arial" w:hAnsi="Arial" w:eastAsia="Arial"/>
          <w:b/>
          <w:i w:val="0"/>
          <w:color w:val="000000"/>
          <w:sz w:val="32"/>
        </w:rPr>
        <w:t>Anexo B · Declaración de uso de inteligencia artificial</w:t>
      </w:r>
    </w:p>
    <w:p>
      <w:pPr>
        <w:spacing w:line="360" w:lineRule="auto" w:after="160"/>
        <w:jc w:val="both"/>
      </w:pPr>
      <w:r>
        <w:rPr>
          <w:rFonts w:ascii="Arial" w:hAnsi="Arial" w:eastAsia="Arial"/>
          <w:b w:val="0"/>
          <w:i w:val="0"/>
          <w:color w:val="000000"/>
          <w:sz w:val="24"/>
        </w:rPr>
        <w:t>En línea con las pautas de la Maestría sobre la declaración de uso de inteligencia artificial, se detallan a continuación las herramientas empleadas en la elaboración de este trabajo, el propósito de su uso y la forma en que interactuamos con ellas.</w:t>
      </w:r>
    </w:p>
    <w:p>
      <w:pPr>
        <w:keepNext/>
        <w:spacing w:line="360" w:lineRule="auto" w:before="160" w:after="40"/>
      </w:pPr>
      <w:r>
        <w:rPr>
          <w:rFonts w:ascii="Arial" w:hAnsi="Arial" w:eastAsia="Arial"/>
          <w:b/>
          <w:i w:val="0"/>
          <w:color w:val="000000"/>
          <w:sz w:val="24"/>
        </w:rPr>
        <w:t>Herramientas utilizadas</w:t>
      </w:r>
    </w:p>
    <w:p>
      <w:pPr>
        <w:spacing w:line="360" w:lineRule="auto" w:after="160"/>
        <w:jc w:val="both"/>
      </w:pPr>
      <w:r>
        <w:rPr>
          <w:rFonts w:ascii="Arial" w:hAnsi="Arial" w:eastAsia="Arial"/>
          <w:b w:val="0"/>
          <w:i w:val="0"/>
          <w:color w:val="000000"/>
          <w:sz w:val="24"/>
        </w:rPr>
        <w:t>Para elaborar este trabajo se hizo uso de Claude, de Anthropic, en su modo Cowork y a través de Claude Code, utilizado como espacio de trabajo compartido, es decir un repositorio común donde se centralizó todo el contexto del proyecto, incluyendo las hipótesis, los documentos de los módulos anteriores y los resultados del experimento. Corresponde aclarar, además, que la inteligencia artificial no es sólo una herramienta de este documento sino el objeto del producto: el coach descripto en la Sección 3 se construyó con esas mismas tecnologías.</w:t>
      </w:r>
    </w:p>
    <w:p>
      <w:pPr>
        <w:keepNext/>
        <w:spacing w:line="360" w:lineRule="auto" w:before="160" w:after="40"/>
      </w:pPr>
      <w:r>
        <w:rPr>
          <w:rFonts w:ascii="Arial" w:hAnsi="Arial" w:eastAsia="Arial"/>
          <w:b/>
          <w:i w:val="0"/>
          <w:color w:val="000000"/>
          <w:sz w:val="24"/>
        </w:rPr>
        <w:t>Motivación</w:t>
      </w:r>
    </w:p>
    <w:p>
      <w:pPr>
        <w:spacing w:line="360" w:lineRule="auto" w:after="160"/>
        <w:jc w:val="both"/>
      </w:pPr>
      <w:r>
        <w:rPr>
          <w:rFonts w:ascii="Arial" w:hAnsi="Arial" w:eastAsia="Arial"/>
          <w:b w:val="0"/>
          <w:i w:val="0"/>
          <w:color w:val="000000"/>
          <w:sz w:val="24"/>
        </w:rPr>
        <w:t>El propósito principal fue sostener la trazabilidad entre el diseño del Módulo 4 y la evidencia de este módulo, y garantizar que ningún número del entregable se separara de su fuente. Con un embudo instrumentado, métricas de plataforma y criterios de éxito fijados de antemano, necesitábamos una forma ordenada de verificar que cada porcentaje se derivara de los datos registrados y que ningún criterio se hubiera reformulado después de ver el resultado.</w:t>
      </w:r>
    </w:p>
    <w:p>
      <w:pPr>
        <w:keepNext/>
        <w:spacing w:line="360" w:lineRule="auto" w:before="160" w:after="40"/>
      </w:pPr>
      <w:r>
        <w:rPr>
          <w:rFonts w:ascii="Arial" w:hAnsi="Arial" w:eastAsia="Arial"/>
          <w:b/>
          <w:i w:val="0"/>
          <w:color w:val="000000"/>
          <w:sz w:val="24"/>
        </w:rPr>
        <w:t>Uso reflexivo y enfoque dialógico</w:t>
      </w:r>
    </w:p>
    <w:p>
      <w:pPr>
        <w:spacing w:line="360" w:lineRule="auto" w:after="160"/>
        <w:jc w:val="both"/>
      </w:pPr>
      <w:r>
        <w:rPr>
          <w:rFonts w:ascii="Arial" w:hAnsi="Arial" w:eastAsia="Arial"/>
          <w:b w:val="0"/>
          <w:i w:val="0"/>
          <w:color w:val="000000"/>
          <w:sz w:val="24"/>
        </w:rPr>
        <w:t>La interacción con la inteligencia artificial fue la de un copiloto de pensamiento y no la de un generador pasivo de texto. El flujo de trabajo típico consistió en partir de los supuestos declarados en la Sección 8 del Módulo 4, discutir qué experimento los ponía a prueba con el menor costo, fijar los criterios de éxito antes de correr y, una vez obtenidos los datos, contrastarlos uno a uno sin permitir que los umbrales se movieran. El criterio de clic que no se alcanzó es producto de esa disciplina, y se reporta como se fijó. Sobre esa base, Claude se usó como disparador de primeros borradores, que luego fueron revisados, corregidos y reescritos. El diseño del experimento, la interpretación de los resultados y la redacción final son nuestra responsabilidad.</w:t>
      </w:r>
    </w:p>
    <w:p>
      <w:pPr>
        <w:spacing w:line="360" w:lineRule="auto" w:after="160"/>
        <w:jc w:val="both"/>
      </w:pPr>
      <w:r>
        <w:rPr>
          <w:rFonts w:ascii="Arial" w:hAnsi="Arial" w:eastAsia="Arial"/>
          <w:b w:val="0"/>
          <w:i w:val="0"/>
          <w:color w:val="000000"/>
          <w:sz w:val="24"/>
        </w:rPr>
        <w:t>A modo de ejemplo, algunas de las instrucciones dirigidas que se utilizaron fueron:</w:t>
      </w:r>
    </w:p>
    <w:p>
      <w:pPr>
        <w:spacing w:line="360" w:lineRule="auto" w:after="80"/>
        <w:ind w:left="340"/>
        <w:jc w:val="both"/>
      </w:pPr>
      <w:r>
        <w:rPr>
          <w:rFonts w:ascii="Arial" w:hAnsi="Arial" w:eastAsia="Arial"/>
          <w:b w:val="0"/>
          <w:i w:val="0"/>
          <w:color w:val="000000"/>
          <w:sz w:val="24"/>
        </w:rPr>
        <w:t>Tomando los cinco riesgos declarados en la Sección 8 del Módulo 4, decime cuáles se pueden testear con una pieza de comunicación y una landing, y cuáles necesitan uso sostenido del producto.</w:t>
      </w:r>
    </w:p>
    <w:p>
      <w:pPr>
        <w:spacing w:line="360" w:lineRule="auto" w:after="80"/>
        <w:ind w:left="340"/>
        <w:jc w:val="both"/>
      </w:pPr>
      <w:r>
        <w:rPr>
          <w:rFonts w:ascii="Arial" w:hAnsi="Arial" w:eastAsia="Arial"/>
          <w:b w:val="0"/>
          <w:i w:val="0"/>
          <w:color w:val="000000"/>
          <w:sz w:val="24"/>
        </w:rPr>
        <w:t>Con estos números del embudo, contrastá cada criterio de éxito que habíamos fijado antes de correr y marcá explícitamente el que no se alcanzó, sin reformularlo.</w:t>
      </w:r>
    </w:p>
    <w:p>
      <w:pPr>
        <w:spacing w:line="360" w:lineRule="auto" w:after="160"/>
        <w:ind w:left="340"/>
        <w:jc w:val="both"/>
      </w:pPr>
      <w:r>
        <w:rPr>
          <w:rFonts w:ascii="Arial" w:hAnsi="Arial" w:eastAsia="Arial"/>
          <w:b w:val="0"/>
          <w:i w:val="0"/>
          <w:color w:val="000000"/>
          <w:sz w:val="24"/>
        </w:rPr>
        <w:t>Revisá el borrador y señalá cada afirmación que no se derive de un dato registrado o de una cita de campo de los módulos anteriores.</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Arial" w:hAnsi="Arial" w:eastAsia="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