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Arial" w:hAnsi="Arial" w:eastAsia="Arial"/>
          <w:b w:val="0"/>
          <w:i w:val="0"/>
          <w:color w:val="000000"/>
          <w:sz w:val="24"/>
        </w:rPr>
        <w:t>Universidad de San Andrés</w:t>
      </w:r>
    </w:p>
    <w:p>
      <w:pPr>
        <w:spacing w:line="360" w:lineRule="auto" w:after="120"/>
        <w:jc w:val="center"/>
      </w:pPr>
      <w:r>
        <w:rPr>
          <w:rFonts w:ascii="Arial" w:hAnsi="Arial" w:eastAsia="Arial"/>
          <w:b w:val="0"/>
          <w:i w:val="0"/>
          <w:color w:val="000000"/>
          <w:sz w:val="24"/>
        </w:rPr>
        <w:t>Maestría en Inteligencia Artificial</w:t>
      </w:r>
    </w:p>
    <w:p>
      <w:pPr>
        <w:spacing w:line="360" w:lineRule="auto" w:after="120"/>
        <w:jc w:val="center"/>
      </w:pPr>
      <w:r>
        <w:rPr>
          <w:rFonts w:ascii="Arial" w:hAnsi="Arial" w:eastAsia="Arial"/>
          <w:b w:val="0"/>
          <w:i w:val="0"/>
          <w:color w:val="000000"/>
          <w:sz w:val="24"/>
        </w:rPr>
        <w:t>Programa New Business Launchpad (NBL) · Módulo 5</w:t>
      </w:r>
    </w:p>
    <w:p>
      <w:pPr>
        <w:spacing w:after="0" w:line="360" w:lineRule="auto"/>
      </w:pPr>
    </w:p>
    <w:p>
      <w:pPr>
        <w:spacing w:after="0" w:line="360" w:lineRule="auto"/>
      </w:pPr>
    </w:p>
    <w:p>
      <w:pPr>
        <w:spacing w:after="0" w:line="360" w:lineRule="auto"/>
      </w:pPr>
    </w:p>
    <w:p>
      <w:pPr>
        <w:spacing w:line="360" w:lineRule="auto" w:after="160"/>
        <w:jc w:val="center"/>
      </w:pPr>
      <w:r>
        <w:rPr>
          <w:rFonts w:ascii="Arial" w:hAnsi="Arial" w:eastAsia="Arial"/>
          <w:b/>
          <w:i w:val="0"/>
          <w:color w:val="000000"/>
          <w:sz w:val="40"/>
        </w:rPr>
        <w:t>El MVP y el product-market fit</w:t>
      </w:r>
    </w:p>
    <w:p>
      <w:pPr>
        <w:spacing w:line="360" w:lineRule="auto" w:after="120"/>
        <w:jc w:val="center"/>
      </w:pPr>
      <w:r>
        <w:rPr>
          <w:rFonts w:ascii="Arial" w:hAnsi="Arial" w:eastAsia="Arial"/>
          <w:b w:val="0"/>
          <w:i w:val="0"/>
          <w:color w:val="000000"/>
          <w:sz w:val="28"/>
        </w:rPr>
        <w:t>Coach de inteligencia artificial para atletas</w:t>
      </w:r>
    </w:p>
    <w:p>
      <w:pPr>
        <w:spacing w:after="0" w:line="360" w:lineRule="auto"/>
      </w:pPr>
    </w:p>
    <w:p>
      <w:pPr>
        <w:spacing w:after="0" w:line="360" w:lineRule="auto"/>
      </w:pPr>
    </w:p>
    <w:p>
      <w:pPr>
        <w:spacing w:after="0" w:line="360" w:lineRule="auto"/>
      </w:pPr>
    </w:p>
    <w:p>
      <w:pPr>
        <w:spacing w:after="0" w:line="360" w:lineRule="auto"/>
      </w:pPr>
    </w:p>
    <w:p>
      <w:pPr>
        <w:spacing w:line="360" w:lineRule="auto" w:after="120"/>
        <w:jc w:val="center"/>
      </w:pPr>
      <w:r>
        <w:rPr>
          <w:rFonts w:ascii="Arial" w:hAnsi="Arial" w:eastAsia="Arial"/>
          <w:b w:val="0"/>
          <w:i w:val="0"/>
          <w:color w:val="000000"/>
          <w:sz w:val="24"/>
        </w:rPr>
        <w:t>Nicolás Karagozian · Benjamín Mackinnon</w:t>
      </w:r>
    </w:p>
    <w:p>
      <w:pPr>
        <w:spacing w:line="360" w:lineRule="auto" w:after="120"/>
        <w:jc w:val="center"/>
      </w:pPr>
      <w:r>
        <w:rPr>
          <w:rFonts w:ascii="Arial" w:hAnsi="Arial" w:eastAsia="Arial"/>
          <w:b w:val="0"/>
          <w:i w:val="0"/>
          <w:color w:val="000000"/>
          <w:sz w:val="24"/>
        </w:rPr>
        <w:t>Mentor: Esteban Balduzzi</w:t>
      </w:r>
    </w:p>
    <w:p>
      <w:pPr>
        <w:spacing w:after="0" w:line="360" w:lineRule="auto"/>
      </w:pPr>
    </w:p>
    <w:p>
      <w:pPr>
        <w:spacing w:after="0" w:line="360" w:lineRule="auto"/>
      </w:pPr>
    </w:p>
    <w:p>
      <w:pPr>
        <w:spacing w:after="0" w:line="360" w:lineRule="auto"/>
      </w:pPr>
    </w:p>
    <w:p>
      <w:pPr>
        <w:spacing w:line="360" w:lineRule="auto" w:after="120"/>
        <w:jc w:val="center"/>
      </w:pPr>
      <w:r>
        <w:rPr>
          <w:rFonts w:ascii="Arial" w:hAnsi="Arial" w:eastAsia="Arial"/>
          <w:b w:val="0"/>
          <w:i w:val="0"/>
          <w:color w:val="000000"/>
          <w:sz w:val="24"/>
        </w:rPr>
        <w:t>Buenos Aires, agosto de 2026</w:t>
      </w:r>
    </w:p>
    <w:p>
      <w:pPr>
        <w:keepNext/>
        <w:spacing w:line="300" w:lineRule="auto" w:after="120"/>
      </w:pPr>
      <w:r>
        <w:br w:type="page"/>
      </w:r>
      <w:r>
        <w:rPr>
          <w:rFonts w:ascii="Arial" w:hAnsi="Arial" w:eastAsia="Arial"/>
          <w:b/>
          <w:i w:val="0"/>
          <w:color w:val="000000"/>
          <w:sz w:val="32"/>
        </w:rPr>
        <w:t>Resumen</w:t>
      </w:r>
    </w:p>
    <w:p>
      <w:pPr>
        <w:spacing w:line="360" w:lineRule="auto" w:after="160"/>
        <w:jc w:val="both"/>
      </w:pPr>
      <w:r>
        <w:rPr>
          <w:rFonts w:ascii="Arial" w:hAnsi="Arial" w:eastAsia="Arial"/>
          <w:b w:val="0"/>
          <w:i w:val="0"/>
          <w:color w:val="000000"/>
          <w:sz w:val="24"/>
        </w:rPr>
        <w:t>Este capítulo saca a Scala del papel. El Módulo 4 diseñó el mapa de valor y verificó el fit contra el perfil del cliente relevado en el Módulo 3: cada pain relevante encontró su pain reliever y cada gain esperado su gain creator. Ese resultado, sin embargo, es fit de diseño, y el fit definitivo no se confirma en un canvas sino cuando personas que no nos conocen entienden la propuesta, la eligen y están dispuestas a pagarla. Este módulo construye el MVP y pone esa diferencia a prueba.</w:t>
      </w:r>
    </w:p>
    <w:p>
      <w:pPr>
        <w:spacing w:line="360" w:lineRule="auto" w:after="160"/>
        <w:jc w:val="both"/>
      </w:pPr>
      <w:r>
        <w:rPr>
          <w:rFonts w:ascii="Arial" w:hAnsi="Arial" w:eastAsia="Arial"/>
          <w:b w:val="0"/>
          <w:i w:val="0"/>
          <w:color w:val="000000"/>
          <w:sz w:val="24"/>
        </w:rPr>
        <w:t>El MVP se entiende acá en el sentido que le da Eric Ries: no la primera versión del producto definitivo, sino la versión que permite recoger, con el mínimo esfuerzo, la máxima cantidad de conocimiento validado sobre el cliente. Bajo esa definición el experimento fue un video de lanzamiento publicado en Instagram y en TikTok, y una landing page que presenta la propuesta, expone el precio de US$10 por mes y cierra con una lista de espera. El orden de la página es una decisión de método: el precio va antes del formulario, de modo que ninguna dirección de correo pueda dejarse sin haberlo leído. Los criterios de éxito se fijaron antes de correr y no se retocaron después.</w:t>
      </w:r>
    </w:p>
    <w:p>
      <w:pPr>
        <w:spacing w:line="360" w:lineRule="auto" w:after="160"/>
        <w:jc w:val="both"/>
      </w:pPr>
      <w:r>
        <w:rPr>
          <w:rFonts w:ascii="Arial" w:hAnsi="Arial" w:eastAsia="Arial"/>
          <w:b w:val="0"/>
          <w:i w:val="0"/>
          <w:color w:val="000000"/>
          <w:sz w:val="24"/>
        </w:rPr>
        <w:t>En las primeras cuarenta y ocho horas el video acumuló 7.266 reproducciones y llevó 179 visitantes únicos a la landing. De ellos, 132 llegaron al precio y 111 dejaron su dirección de correo, es decir el 62,0% de todos los que entraron y el 84,1% de los que leyeron cuánto sale. La conversión de visitante a lead cuadruplica el criterio que nos habíamos fijado y supera por veinte veces el benchmark de referencia del módulo. El criterio de clic sobre alcance, en cambio, no se alcanzó: 2,5% contra el 5% previsto.</w:t>
      </w:r>
    </w:p>
    <w:p>
      <w:pPr>
        <w:spacing w:line="360" w:lineRule="auto" w:after="160"/>
        <w:jc w:val="both"/>
      </w:pPr>
      <w:r>
        <w:rPr>
          <w:rFonts w:ascii="Arial" w:hAnsi="Arial" w:eastAsia="Arial"/>
          <w:b w:val="0"/>
          <w:i w:val="0"/>
          <w:color w:val="000000"/>
          <w:sz w:val="24"/>
        </w:rPr>
        <w:t>La lectura conjunta de esos dos resultados es el aprendizaje central del módulo y ordena lo que sigue: cuando la propuesta se entiende, convierte con una fuerza inusual, de modo que el cuello de botella del negocio no está hoy en el valor sino en la distribución. La conclusión que el documento defiende es, en consecuencia, que hay evidencia sólida de problem-solution fit y señales tempranas de product-market fit, y que para afirmarlo sin reservas faltan volumen, tráfico frío, una cohorte de uso sostenido y un cobro real.</w:t>
      </w:r>
    </w:p>
    <w:p>
      <w:pPr>
        <w:keepNext/>
        <w:spacing w:line="300" w:lineRule="auto" w:after="120"/>
      </w:pPr>
      <w:r>
        <w:br w:type="page"/>
      </w:r>
      <w:r>
        <w:rPr>
          <w:rFonts w:ascii="Arial" w:hAnsi="Arial" w:eastAsia="Arial"/>
          <w:b/>
          <w:i w:val="0"/>
          <w:color w:val="000000"/>
          <w:sz w:val="32"/>
        </w:rPr>
        <w:t>1. Del diseño al testeo</w:t>
      </w:r>
    </w:p>
    <w:p>
      <w:pPr>
        <w:spacing w:line="360" w:lineRule="auto" w:after="160"/>
        <w:jc w:val="both"/>
      </w:pPr>
      <w:r>
        <w:rPr>
          <w:rFonts w:ascii="Arial" w:hAnsi="Arial" w:eastAsia="Arial"/>
          <w:b w:val="0"/>
          <w:i w:val="0"/>
          <w:color w:val="000000"/>
          <w:sz w:val="24"/>
        </w:rPr>
        <w:t>Los Módulos 3 y 4 cerraron la fase de diseño. El primero definió y validó empíricamente el problema y el perfil del cliente, es decir el lado derecho del Value Proposition Canvas, sobre quince entrevistas de empatía y una encuesta de sesenta respuestas. El segundo construyó el lado izquierdo, el mapa de valor, y verificó el fit entre ambos lados para los dos frentes del target. Ese trabajo dejó una propuesta consistente y una tesis clara: frente a un mercado de tableros que informan, Scala es un entrenador que acciona.</w:t>
      </w:r>
    </w:p>
    <w:p>
      <w:pPr>
        <w:spacing w:line="360" w:lineRule="auto" w:after="160"/>
        <w:jc w:val="both"/>
      </w:pPr>
      <w:r>
        <w:rPr>
          <w:rFonts w:ascii="Arial" w:hAnsi="Arial" w:eastAsia="Arial"/>
          <w:b w:val="0"/>
          <w:i w:val="0"/>
          <w:color w:val="000000"/>
          <w:sz w:val="24"/>
        </w:rPr>
        <w:t>Nada de eso es todavía validación. Un mapa de valor que hace fit en el papel prueba coherencia interna, no demanda: prueba que la solución diseñada responde al problema observado, que es lo que suele llamarse problem-solution fit. El product-market fit es otra cosa y se confirma afuera, cuando cada vez más usuarios adoptan y sostienen el producto. Este módulo es la bisagra entre una cosa y la otra.</w:t>
      </w:r>
    </w:p>
    <w:p>
      <w:pPr>
        <w:spacing w:line="360" w:lineRule="auto" w:after="160"/>
        <w:jc w:val="both"/>
      </w:pPr>
      <w:r>
        <w:rPr>
          <w:rFonts w:ascii="Arial" w:hAnsi="Arial" w:eastAsia="Arial"/>
          <w:b w:val="0"/>
          <w:i w:val="0"/>
          <w:color w:val="000000"/>
          <w:sz w:val="24"/>
        </w:rPr>
        <w:t xml:space="preserve">El método que el módulo propone tiene cinco pasos que se repiten en ciclo: formular la hipótesis de diseño que se quiere poner a prueba, inventar un experimento rápido y barato que la testee, definir el criterio de éxito </w:t>
      </w:r>
      <w:r>
        <w:rPr>
          <w:rFonts w:ascii="Arial" w:hAnsi="Arial" w:eastAsia="Arial"/>
          <w:b w:val="0"/>
          <w:i/>
          <w:color w:val="000000"/>
          <w:sz w:val="24"/>
        </w:rPr>
        <w:t>antes</w:t>
      </w:r>
      <w:r>
        <w:rPr>
          <w:rFonts w:ascii="Arial" w:hAnsi="Arial" w:eastAsia="Arial"/>
          <w:b w:val="0"/>
          <w:i w:val="0"/>
          <w:color w:val="000000"/>
          <w:sz w:val="24"/>
        </w:rPr>
        <w:t xml:space="preserve"> de correrlo, correrlo y recoger evidencia, y aprender, es decir analizar, concluir y decidir el próximo paso. Los dos objetivos declarados de testear son reducir el riesgo de incertidumbre del diseño y producir evidencia —débil o fuerte— que soporte o refute las hipótesis. Si la hipótesis se valida, se sigue refinando la propuesta con un experimento nuevo; si no se valida, se repiensa la propuesta.</w:t>
      </w:r>
    </w:p>
    <w:p>
      <w:pPr>
        <w:spacing w:line="360" w:lineRule="auto" w:after="160"/>
        <w:jc w:val="both"/>
      </w:pPr>
      <w:r>
        <w:rPr>
          <w:rFonts w:ascii="Arial" w:hAnsi="Arial" w:eastAsia="Arial"/>
          <w:b w:val="0"/>
          <w:i w:val="0"/>
          <w:color w:val="000000"/>
          <w:sz w:val="24"/>
        </w:rPr>
        <w:t>El tercero de esos pasos es el que más disciplina exige y el que ordena este documento. Un experimento sin criterio de éxito escrito de antemano no produce aprendizaje sino justificación: cualquier número puede leerse como bueno si el umbral se fija después de verlo. Por eso los criterios de esta corrida se enuncian en la Sección 4, antes de que aparezca ningún resultado, y la Sección 5 los contrasta uno a uno, incluido el que no se alcanzó.</w:t>
      </w:r>
    </w:p>
    <w:p>
      <w:pPr>
        <w:spacing w:line="360" w:lineRule="auto" w:after="160"/>
        <w:jc w:val="both"/>
      </w:pPr>
      <w:r>
        <w:rPr>
          <w:rFonts w:ascii="Arial" w:hAnsi="Arial" w:eastAsia="Arial"/>
          <w:b w:val="0"/>
          <w:i w:val="0"/>
          <w:color w:val="000000"/>
          <w:sz w:val="24"/>
        </w:rPr>
        <w:t>El capítulo avanza en ese orden. La Sección 2 argumenta el fit desde el Value Proposition Canvas y distingue con precisión qué quedó verificado y qué falta. La Sección 3 describe el MVP: qué es un MVP en este marco, en qué punto del proceso está Scala, cómo está construido el prototipo y qué artefactos se produjeron específicamente para medir. La Sección 4 enuncia las hipótesis y los criterios de éxito; la Sección 5 presenta la evidencia; la Sección 6 responde punto por punto el checklist de validación del módulo; la Sección 7 vuelve sobre la propuesta de valor con lo aprendido y la Sección 8 responde la pregunta que da título al entregable.</w:t>
      </w:r>
    </w:p>
    <w:p>
      <w:pPr>
        <w:keepNext/>
        <w:spacing w:line="300" w:lineRule="auto" w:after="120"/>
      </w:pPr>
      <w:r>
        <w:br w:type="page"/>
      </w:r>
      <w:r>
        <w:rPr>
          <w:rFonts w:ascii="Arial" w:hAnsi="Arial" w:eastAsia="Arial"/>
          <w:b/>
          <w:i w:val="0"/>
          <w:color w:val="000000"/>
          <w:sz w:val="32"/>
        </w:rPr>
        <w:t>2. El product-market fit desde el Value Proposition Canvas</w:t>
      </w:r>
    </w:p>
    <w:p>
      <w:pPr>
        <w:spacing w:line="360" w:lineRule="auto" w:after="160"/>
        <w:jc w:val="both"/>
      </w:pPr>
      <w:r>
        <w:rPr>
          <w:rFonts w:ascii="Arial" w:hAnsi="Arial" w:eastAsia="Arial"/>
          <w:b w:val="0"/>
          <w:i w:val="0"/>
          <w:color w:val="000000"/>
          <w:sz w:val="24"/>
        </w:rPr>
        <w:t>El Value Proposition Canvas tiene dos lados. El derecho, el perfil del cliente, describe a quién nos dirigimos a través de sus customer jobs, sus pains y los gains que espera. El izquierdo, el mapa de valor, describe cómo agregamos valor mediante los products and services que ofrecemos, los pain relievers y los gain creators. Hay fit cuando cada pain relevante tiene su pain reliever y cada gain esperado su gain creator, y cuando esa correspondencia responde a algo efectivamente observado en el campo y no a una intuición del equipo. Esta sección no repite los dos canvas, que quedaron transcriptos íntegros en los anexos del Módulo 4: retoma el argumento del fit para poder discutir después en qué medida el experimento lo puso a prueba.</w:t>
      </w:r>
    </w:p>
    <w:p>
      <w:pPr>
        <w:spacing w:line="360" w:lineRule="auto" w:after="160"/>
        <w:jc w:val="both"/>
      </w:pPr>
      <w:r>
        <w:rPr>
          <w:rFonts w:ascii="Arial" w:hAnsi="Arial" w:eastAsia="Arial"/>
          <w:b w:val="0"/>
          <w:i w:val="0"/>
          <w:color w:val="000000"/>
          <w:sz w:val="24"/>
        </w:rPr>
        <w:t>Conviene recordar cómo el trabajo de campo redefinió el problema, porque de ahí sale todo. El pain dominante del atleta amateur no es el exceso de datos sino la ausencia de una guía personalizada y accionable que le diga qué entrenar, qué comer y cómo progresar. El 65% del segmento relevado no usa dispositivo, el 58% no usa ninguna aplicación de fitness, el 60% decide el día según cómo se siente y la mitad duda de forma recurrente sobre si lo está haciendo bien. A la vez, el 73% considera natural gestionar su entrenamiento y su nutrición conversando por chat o por voz y el 62% desea explícitamente una guía personalizada diaria. De ese cuadro salen las dos definiciones que la propuesta debe honrar: que el valor está en accionar y no en mostrar, y que el wearable tiene que ser opcional y no un requisito.</w:t>
      </w:r>
    </w:p>
    <w:p>
      <w:pPr>
        <w:spacing w:line="360" w:lineRule="auto" w:after="160"/>
        <w:jc w:val="both"/>
      </w:pPr>
      <w:r>
        <w:rPr>
          <w:rFonts w:ascii="Arial" w:hAnsi="Arial" w:eastAsia="Arial"/>
          <w:b w:val="0"/>
          <w:i w:val="0"/>
          <w:color w:val="000000"/>
          <w:sz w:val="24"/>
        </w:rPr>
        <w:t>Para el frente con wearable, que el Módulo 3 personificó en Fede y que representa cerca del 35% del segmento, el pain dominante es tener los datos y no saber accionarlos, sumado a la fricción de integrarlos a mano. En la encuesta, once de las veintiuna personas con wearable puntúan alto la frase “tengo datos pero no sé bien qué hacer con ellos”, y en las entrevistas ese pain toma una forma muy concreta: Hernán, que corrió ocho maratones y duerme con su Garmin, saca capturas de pantalla de sus métricas y se las sube a un chat de inteligencia artificial para que se las interprete. El pain reliever que lo ataca es la conversión automática de la biometría en una recomendación diaria: el Readiness Score cruza sueño, variabilidad de la frecuencia cardíaca y estrés en un único número interpretado, y el coach lo devuelve en lenguaje natural junto con la sesión del día. El gain esperado —que el dato se vuelva decisión— queda cubierto por ese mismo mecanismo y por el reajuste automático del plan con la biometría entrante.</w:t>
      </w:r>
    </w:p>
    <w:p>
      <w:pPr>
        <w:spacing w:line="360" w:lineRule="auto" w:after="160"/>
        <w:jc w:val="both"/>
      </w:pPr>
      <w:r>
        <w:rPr>
          <w:rFonts w:ascii="Arial" w:hAnsi="Arial" w:eastAsia="Arial"/>
          <w:b w:val="0"/>
          <w:i w:val="0"/>
          <w:color w:val="000000"/>
          <w:sz w:val="24"/>
        </w:rPr>
        <w:t>Para el frente sin wearable, personificado en Flor y mayoritario con cerca del 65% del segmento, el pain de fondo es la ausencia de estructura propia. Amparo, que hace pilates y fútbol, lo dijo así: “no tengo plan; es lo que más me cuesta armarme y lo que más me traba al momento de entrenar”. El pain reliever es el plan generado y ajustado por conversación, que no necesita dispositivo porque el contexto llega hablando, y una nutrición deliberadamente simple, con alimentos accesibles, tal como la pidió Graciela: “una guía de alimentación con alimentos accesibles y fáciles (…) todo lo que consigo en el súper o la verdulería”, advirtiendo que “si me empiezan a poner cosas rebuscadas, me da fiaca y no lo hago”. El gain creator central es que la aplicación le diga qué hacer hoy en una sola frase, y el posicionamiento como capa que organiza sin reemplazar el vínculo humano que ya valora.</w:t>
      </w:r>
    </w:p>
    <w:p>
      <w:pPr>
        <w:spacing w:line="360" w:lineRule="auto" w:after="160"/>
        <w:jc w:val="both"/>
      </w:pPr>
      <w:r>
        <w:rPr>
          <w:rFonts w:ascii="Arial" w:hAnsi="Arial" w:eastAsia="Arial"/>
          <w:b w:val="0"/>
          <w:i w:val="0"/>
          <w:color w:val="000000"/>
          <w:sz w:val="24"/>
        </w:rPr>
        <w:t>Un fit honesto incluye lo que no cubre. El Módulo 4 dejó declarados tres pains que la propuesta atiende sólo de forma parcial y que siguen abiertos: la corrección técnica presencial, que no tiene sustituto en una aplicación y por eso ordena el posicionamiento de complemento y no de reemplazo; el aval profesional o médico, que no se resuelve con producto sino con señales de rigor y eventualmente con respaldo institucional; y el vínculo social y comunitario, que Scala puede acompañar pero no generar por sí mismo.</w:t>
      </w:r>
    </w:p>
    <w:p>
      <w:pPr>
        <w:spacing w:line="360" w:lineRule="auto" w:after="160"/>
        <w:jc w:val="both"/>
      </w:pPr>
      <w:r>
        <w:rPr>
          <w:rFonts w:ascii="Arial" w:hAnsi="Arial" w:eastAsia="Arial"/>
          <w:b w:val="0"/>
          <w:i w:val="0"/>
          <w:color w:val="000000"/>
          <w:sz w:val="24"/>
        </w:rPr>
        <w:t>Con ese cuadro, la pregunta de este módulo se vuelve precisa. No es si el mapa de valor cierra contra el perfil del cliente, porque eso quedó verificado, sino si la propuesta, expresada en el lenguaje del producto y puesta frente a personas que no participaron de su diseño, es entendida y elegida. El experimento que sigue está construido para responder exactamente eso, y el documento va a concluir con un fit parcialmente validado antes que con una declaración de victoria.</w:t>
      </w:r>
    </w:p>
    <w:p>
      <w:pPr>
        <w:keepNext/>
        <w:spacing w:line="300" w:lineRule="auto" w:after="120"/>
      </w:pPr>
      <w:r>
        <w:br w:type="page"/>
      </w:r>
      <w:r>
        <w:rPr>
          <w:rFonts w:ascii="Arial" w:hAnsi="Arial" w:eastAsia="Arial"/>
          <w:b/>
          <w:i w:val="0"/>
          <w:color w:val="000000"/>
          <w:sz w:val="32"/>
        </w:rPr>
        <w:t>3. El MVP: proceso de construcción y arquitectura</w:t>
      </w:r>
    </w:p>
    <w:p>
      <w:pPr>
        <w:keepNext/>
        <w:spacing w:line="360" w:lineRule="auto" w:before="160" w:after="40"/>
      </w:pPr>
      <w:r>
        <w:rPr>
          <w:rFonts w:ascii="Arial" w:hAnsi="Arial" w:eastAsia="Arial"/>
          <w:b/>
          <w:i w:val="0"/>
          <w:color w:val="000000"/>
          <w:sz w:val="24"/>
        </w:rPr>
        <w:t>3.1 Qué es un MVP y qué no</w:t>
      </w:r>
    </w:p>
    <w:p>
      <w:pPr>
        <w:spacing w:line="360" w:lineRule="auto" w:after="160"/>
        <w:jc w:val="both"/>
      </w:pPr>
      <w:r>
        <w:rPr>
          <w:rFonts w:ascii="Arial" w:hAnsi="Arial" w:eastAsia="Arial"/>
          <w:b w:val="0"/>
          <w:i w:val="0"/>
          <w:color w:val="000000"/>
          <w:sz w:val="24"/>
        </w:rPr>
        <w:t>El marco del módulo es el de Eric Ries: el MVP es la versión de un nuevo producto que permite recoger, con el mínimo esfuerzo, la máxima cantidad de conocimiento validado acerca de los consumidores. La definición pone el acento en el conocimiento, no en el producto, y por eso el error más frecuente —que el módulo advierte de manera explícita— es confundir el MVP con la primera versión del producto definitivo. El MVP es, en rigor, una serie de prototipos dentro de un proceso iterativo de aprendizaje, con cuatro hitos sucesivos: la idea de producto diseñada y lista para experimentar, la prueba de concepto publicada y presentada, la primera versión codificada y, finalmente, el producto maduro que se empieza a vender.</w:t>
      </w:r>
    </w:p>
    <w:p>
      <w:pPr>
        <w:spacing w:line="360" w:lineRule="auto" w:after="160"/>
        <w:jc w:val="both"/>
      </w:pPr>
      <w:r>
        <w:rPr>
          <w:rFonts w:ascii="Arial" w:hAnsi="Arial" w:eastAsia="Arial"/>
          <w:b w:val="0"/>
          <w:i w:val="0"/>
          <w:color w:val="000000"/>
          <w:sz w:val="24"/>
        </w:rPr>
        <w:t>Corresponde ser transparentes sobre en qué punto de esa secuencia llegó Scala, porque el propio módulo advierte contra el recorrido que hicimos. El hito 1 quedó cerrado con el Módulo 4. El hito 3, la versión codificada, existe: hay un prototipo funcional desplegado, con integración biométrica real y un coach agéntico operativo. El hito 2, en cambio, la prueba de concepto publicada frente al mercado, es justamente lo que este módulo vino a correr. La secuencia, dicho sin rodeos, se invirtió: se escribió código antes de pasar las primeras pruebas del MVP, que es el error que el módulo señala como el más caro del emprendedor.</w:t>
      </w:r>
    </w:p>
    <w:p>
      <w:pPr>
        <w:spacing w:line="360" w:lineRule="auto" w:after="160"/>
        <w:jc w:val="both"/>
      </w:pPr>
      <w:r>
        <w:rPr>
          <w:rFonts w:ascii="Arial" w:hAnsi="Arial" w:eastAsia="Arial"/>
          <w:b w:val="0"/>
          <w:i w:val="0"/>
          <w:color w:val="000000"/>
          <w:sz w:val="24"/>
        </w:rPr>
        <w:t>Reconocerlo tiene dos consecuencias, y las dos importan. La primera es que la existencia del código no exime de correr la validación: la propuesta de valor seguía sin ninguna evidencia de mercado, y una aplicación construida sobre una hipótesis no verificada es exactamente la situación que el marco intenta evitar. Si algo, la vuelve más urgente. La segunda es que, una vez asumida, la inversión hecha cambia de papel: el prototipo deja de ser un sustituto de la validación y pasa a ser un activo del experimento. Drew Houston grabó el video de Dropbox porque no tenía producto que mostrar; nosotros pudimos grabar el equivalente sobre la aplicación real, sin maquetas ni promesas, lo que hace que lo que el espectador evalúa sea el producto y no una idea. Es el mismo experimento del hito 2, corrido con mejor material.</w:t>
      </w:r>
    </w:p>
    <w:p>
      <w:pPr>
        <w:spacing w:line="360" w:lineRule="auto" w:after="160"/>
        <w:jc w:val="both"/>
      </w:pPr>
      <w:r>
        <w:rPr>
          <w:rFonts w:ascii="Arial" w:hAnsi="Arial" w:eastAsia="Arial"/>
          <w:b w:val="0"/>
          <w:i w:val="0"/>
          <w:color w:val="000000"/>
          <w:sz w:val="24"/>
        </w:rPr>
        <w:t>La pregunta que ordena todo el módulo se sostiene igual: qué estamos tratando de aprender y cómo podemos aprenderlo con la menor inversión de tiempo. La respuesta, en esta etapa, no pasaba por agregar funcionalidades sino por publicar.</w:t>
      </w:r>
    </w:p>
    <w:p>
      <w:pPr>
        <w:keepNext/>
        <w:spacing w:line="360" w:lineRule="auto" w:before="160" w:after="40"/>
      </w:pPr>
      <w:r>
        <w:rPr>
          <w:rFonts w:ascii="Arial" w:hAnsi="Arial" w:eastAsia="Arial"/>
          <w:b/>
          <w:i w:val="0"/>
          <w:color w:val="000000"/>
          <w:sz w:val="24"/>
        </w:rPr>
        <w:t>3.2 Arquitectura del MVP</w:t>
      </w:r>
    </w:p>
    <w:p>
      <w:pPr>
        <w:spacing w:line="360" w:lineRule="auto" w:after="160"/>
        <w:jc w:val="both"/>
      </w:pPr>
      <w:r>
        <w:rPr>
          <w:rFonts w:ascii="Arial" w:hAnsi="Arial" w:eastAsia="Arial"/>
          <w:b w:val="0"/>
          <w:i w:val="0"/>
          <w:color w:val="000000"/>
          <w:sz w:val="24"/>
        </w:rPr>
        <w:t>Conceptualmente, Scala es una aplicación personal de fitness cuya superficie principal —y única superficie de conversación— es un coach de inteligencia artificial agéntico. La distinción es estructural y no estética: el chat no está al costado del producto, es el lugar desde donde se actualiza todo. El atleta le cuenta cómo durmió, qué le duele o qué quiere lograr, y el coach no responde con un consejo genérico sino que ejecuta: arma o reescribe el plan de entrenamiento, genera el plan de nutrición, descompone un objetivo en fases con fecha, registra una comida a partir de una foto, protege una sesión ante fatiga o lesión y actualiza el perfil del usuario. Los otros módulos de la aplicación no tienen chat propio: embeben un campo de entrada que abre una conversación nueva con el contexto de ese módulo ya cargado.</w:t>
      </w:r>
    </w:p>
    <w:p>
      <w:pPr>
        <w:spacing w:line="360" w:lineRule="auto" w:after="160"/>
        <w:jc w:val="both"/>
      </w:pPr>
      <w:r>
        <w:rPr>
          <w:rFonts w:ascii="Arial" w:hAnsi="Arial" w:eastAsia="Arial"/>
          <w:b w:val="0"/>
          <w:i w:val="0"/>
          <w:color w:val="000000"/>
          <w:sz w:val="24"/>
        </w:rPr>
        <w:t>Alrededor de esa superficie hay cinco componentes. El primero es la memoria persistente, que es lo que separa una experiencia personalizada de una genérica: el coach guarda fichas tipadas —objetivo, preferencia, restricción, rutina y contexto— que se inyectan en cada conversación, de modo que una lesión, una restricción alimentaria o el horario en que la persona puede entrenar se explican una sola vez. El segundo es el dashboard biométrico con el Readiness Score, un índice propio que pondera sueño, estrés invertido y variabilidad de la frecuencia cardíaca, y donde cada métrica admite drill-down con la lectura del coach. El tercero son los planes de entrenamiento y los objetivos: los planes se generan a partir del perfil, del historial de actividad y del descanso, con un tipo de sesión semántico por bloque y progresión de cargas, y los objetivos se descomponen en fases datadas con hitos semanales. El cuarto es la nutrición, con registro de comidas por foto, un calendario mensual de adherencia y planes por estrategia —déficit, volumen, recomposición, mantenimiento o resistencia— vinculados de forma bidireccional con el plan de entrenamiento y con suplementación contextual. El quinto es el seguimiento del ciclo menstrual matizado por método anticonceptivo, que resuelve tres modos distintos de cálculo y ajusta recomendaciones y macros por fase, inyectando ese contexto al coach sólo cuando la usuaria lo habilita.</w:t>
      </w:r>
    </w:p>
    <w:p>
      <w:pPr>
        <w:spacing w:line="360" w:lineRule="auto" w:after="160"/>
        <w:jc w:val="both"/>
      </w:pPr>
      <w:r>
        <w:rPr>
          <w:rFonts w:ascii="Arial" w:hAnsi="Arial" w:eastAsia="Arial"/>
          <w:b w:val="0"/>
          <w:i w:val="0"/>
          <w:color w:val="000000"/>
          <w:sz w:val="24"/>
        </w:rPr>
        <w:t>En lo técnico, el prototipo es una aplicación web progresiva con un frontend en React y TypeScript, un backend en Express y una base Postgres gestionada, con un mapeador objeto-relacional por encima y autenticación por correo y Google. La capa de inteligencia artificial está diseñada como una interfaz común con dos implementaciones intercambiables: un proveedor comercial con uso nativo de herramientas y un modelo abierto ejecutado localmente, que resuelve la misma capa agéntica mediante un bucle de razonamiento y acción. Toda la interacción viaja por streaming, y el bucle agéntico persiste sus efectos en la base antes de devolver el resultado de cada herramienta, de manera que una conversación interrumpida no deja el estado a medias. La aplicación está internacionalizada en español e inglés, con el español como idioma por defecto, y hay un cliente iOS nativo en desarrollo.</w:t>
      </w:r>
    </w:p>
    <w:p>
      <w:pPr>
        <w:spacing w:line="360" w:lineRule="auto" w:after="160"/>
        <w:jc w:val="both"/>
      </w:pPr>
      <w:r>
        <w:rPr>
          <w:rFonts w:ascii="Arial" w:hAnsi="Arial" w:eastAsia="Arial"/>
          <w:b w:val="0"/>
          <w:i w:val="0"/>
          <w:color w:val="000000"/>
          <w:sz w:val="24"/>
        </w:rPr>
        <w:t>La integración con Garmin Connect merece un párrafo aparte porque es evidencia concreta de uno de los riesgos que el Módulo 4 declaró: la dependencia de plataformas que no controlamos. La integración funciona, pero impuso tres restricciones de diseño reales. Los datos vuelven con un desfasaje sistemático de un día, que hay que corregir en cada consulta. El proveedor aplica límites de tasa agresivos, lo que obliga a espaciar las peticiones y hace que la primera sincronización tarde varios minutos. Y el endpoint que expone la reserva de energía del dispositivo quedó bloqueado, lo que nos forzó a construir el Readiness Score con las métricas que sí están disponibles. Ninguna de las tres es fatal, pero las tres confirman que ese frente de la propuesta se apoya en una interfaz ajena.</w:t>
      </w:r>
    </w:p>
    <w:p>
      <w:pPr>
        <w:spacing w:line="360" w:lineRule="auto" w:after="160"/>
        <w:jc w:val="both"/>
      </w:pPr>
      <w:r>
        <w:rPr>
          <w:rFonts w:ascii="Arial" w:hAnsi="Arial" w:eastAsia="Arial"/>
          <w:b w:val="0"/>
          <w:i w:val="0"/>
          <w:color w:val="000000"/>
          <w:sz w:val="24"/>
        </w:rPr>
        <w:t>También importa qué queda deliberadamente afuera del MVP. No hay cobro implementado, porque el modelo de negocios es materia del módulo siguiente y porque en esta etapa lo que se quiere medir es intención y no ingreso. No hay capa social ni comunitaria, en coherencia con el límite que la propuesta declaró: Scala organiza el vínculo humano, no lo reemplaza ni lo sustituye por una red. No hay corrección técnica por video ni aval profesional, los dos pains que el Módulo 4 dejó explícitamente sin resolver. Cada una de esas ausencias es una decisión de alcance, no una deuda de implementación.</w:t>
      </w:r>
    </w:p>
    <w:p>
      <w:pPr>
        <w:keepNext/>
        <w:spacing w:line="360" w:lineRule="auto" w:before="160" w:after="40"/>
      </w:pPr>
      <w:r>
        <w:rPr>
          <w:rFonts w:ascii="Arial" w:hAnsi="Arial" w:eastAsia="Arial"/>
          <w:b/>
          <w:i w:val="0"/>
          <w:color w:val="000000"/>
          <w:sz w:val="24"/>
        </w:rPr>
        <w:t>3.3 Los artefactos del experimento</w:t>
      </w:r>
    </w:p>
    <w:p>
      <w:pPr>
        <w:spacing w:line="360" w:lineRule="auto" w:after="160"/>
        <w:jc w:val="both"/>
      </w:pPr>
      <w:r>
        <w:rPr>
          <w:rFonts w:ascii="Arial" w:hAnsi="Arial" w:eastAsia="Arial"/>
          <w:b w:val="0"/>
          <w:i w:val="0"/>
          <w:color w:val="000000"/>
          <w:sz w:val="24"/>
        </w:rPr>
        <w:t>Sobre el prototipo se construyeron cuatro piezas cuya única función es medir. Conviene describirlas como instrumentos y no como producto, porque de su diseño depende qué se puede leer en los números.</w:t>
      </w:r>
    </w:p>
    <w:p>
      <w:pPr>
        <w:spacing w:line="360" w:lineRule="auto" w:after="160"/>
        <w:jc w:val="both"/>
      </w:pPr>
      <w:r>
        <w:rPr>
          <w:rFonts w:ascii="Arial" w:hAnsi="Arial" w:eastAsia="Arial"/>
          <w:b w:val="0"/>
          <w:i w:val="0"/>
          <w:color w:val="000000"/>
          <w:sz w:val="24"/>
        </w:rPr>
        <w:t>La primera es el video de lanzamiento, publicado en formato vertical como colaboración entre la cuenta personal de Benjamín Mackinnon —que tiene audiencia propia en el ambiente deportivo y ya había publicado sobre su preparación para un Ironman— y la cuenta de marca @scala.fit, creada para este experimento y sin ningún seguidor previo. En paralelo se produjo un recorrido en video de la aplicación real, grabado sobre el simulador de iOS con una cuenta de demostración sin datos sensibles, con locución y subtítulos: sus seis escenas —el día completo en una pantalla, el coach que conoce el contexto, la foto del plato convertida en macros, la nutrición cruzada con el entrenamiento, la semana exportada al reloj y el objetivo partido en fases— son la propuesta de valor traducida a imágenes. Es el equivalente estructural del video de Dropbox, con la diferencia de que acá el producto existe y se muestra funcionando.</w:t>
      </w:r>
    </w:p>
    <w:p>
      <w:pPr>
        <w:spacing w:line="360" w:lineRule="auto" w:after="160"/>
        <w:jc w:val="both"/>
      </w:pPr>
      <w:r>
        <w:rPr>
          <w:rFonts w:ascii="Arial" w:hAnsi="Arial" w:eastAsia="Arial"/>
          <w:b w:val="0"/>
          <w:i w:val="0"/>
          <w:color w:val="000000"/>
          <w:sz w:val="24"/>
        </w:rPr>
        <w:t>La segunda es la landing, publicada en scala.fit. Está armada como una secuencia de siete bloques que primero construye empatía con el problema y recién al final pide el correo: el gancho inicial invita a decir qué se quiere lograr —correr diez kilómetros, dormir mejor, bajar el estrés, comer mejor—, después vienen el objetivo partido en fases, la semana, el coach, la nutrición, los hábitos y la grilla de lo que la aplicación ya sabe, y sólo entonces el precio y la lista de espera.</w:t>
      </w:r>
    </w:p>
    <w:p>
      <w:pPr>
        <w:spacing w:line="360" w:lineRule="auto" w:after="160"/>
        <w:jc w:val="both"/>
      </w:pPr>
      <w:r>
        <w:rPr>
          <w:rFonts w:ascii="Arial" w:hAnsi="Arial" w:eastAsia="Arial"/>
          <w:b w:val="0"/>
          <w:i w:val="0"/>
          <w:color w:val="000000"/>
          <w:sz w:val="24"/>
        </w:rPr>
        <w:t xml:space="preserve">La tercera es el bloque de precio, que es el instrumento decisivo. Muestra un plan único a US$10 por mes con el anclaje explícito contra la alternativa —un entrenador que siga en serio más un nutricionista no bajan de US$100 mensuales— y ofrece seis meses sin costo a los primeros inscriptos, aclarando en el mismo bloque que cuántos entran depende de cuánta gente se anote y que por lo tanto no se garantiza. Esa aclaración cuesta conversión y se puso igual: prometer un beneficio que después no se puede honrar contamina el experimento y el negocio. Lo importante a los efectos de la medición es la posición: el precio está </w:t>
      </w:r>
      <w:r>
        <w:rPr>
          <w:rFonts w:ascii="Arial" w:hAnsi="Arial" w:eastAsia="Arial"/>
          <w:b w:val="0"/>
          <w:i/>
          <w:color w:val="000000"/>
          <w:sz w:val="24"/>
        </w:rPr>
        <w:t>antes</w:t>
      </w:r>
      <w:r>
        <w:rPr>
          <w:rFonts w:ascii="Arial" w:hAnsi="Arial" w:eastAsia="Arial"/>
          <w:b w:val="0"/>
          <w:i w:val="0"/>
          <w:color w:val="000000"/>
          <w:sz w:val="24"/>
        </w:rPr>
        <w:t xml:space="preserve"> del formulario, de modo que nadie puede dejar su correo sin haber leído cuánto sale.</w:t>
      </w:r>
    </w:p>
    <w:p>
      <w:pPr>
        <w:spacing w:line="360" w:lineRule="auto" w:after="160"/>
        <w:jc w:val="both"/>
      </w:pPr>
      <w:r>
        <w:rPr>
          <w:rFonts w:ascii="Arial" w:hAnsi="Arial" w:eastAsia="Arial"/>
          <w:b w:val="0"/>
          <w:i w:val="0"/>
          <w:color w:val="000000"/>
          <w:sz w:val="24"/>
        </w:rPr>
        <w:t>La cuarta es el formulario, que pide un solo dato: la dirección de correo. La decisión de no preguntar nada más fue deliberada. Cada campo adicional es fricción, y lo que este experimento quiere medir es intención, no perfil; el pedido, además, ya está explícito en el copy que rodea al formulario. El costo de esa decisión es que la composición del interés no se reconstruye desde el formulario, y la Sección 7 explica cómo se resuelve en el paso siguiente.</w:t>
      </w:r>
    </w:p>
    <w:p>
      <w:pPr>
        <w:spacing w:line="360" w:lineRule="auto" w:after="160"/>
        <w:jc w:val="both"/>
      </w:pPr>
      <w:r>
        <w:rPr>
          <w:rFonts w:ascii="Arial" w:hAnsi="Arial" w:eastAsia="Arial"/>
          <w:b w:val="0"/>
          <w:i w:val="0"/>
          <w:color w:val="000000"/>
          <w:sz w:val="24"/>
        </w:rPr>
        <w:t>A eso se suma la instrumentación. Cada visitante emite hasta seis eventos contra el backend —entrada, vista del bloque de precio, clic en el plan, vista del formulario y alta— identificados por un código de sesión anónimo guardado en el navegador. No hay ningún dato personal en esa tabla: la dirección de correo se guarda por separado. Todos los ratios que este documento reporta se calculan sobre visitantes únicos y no sobre impactos, de manera que una misma persona que vuelve a entrar no infla el numerador.</w:t>
      </w:r>
    </w:p>
    <w:p>
      <w:pPr>
        <w:keepNext/>
        <w:spacing w:line="300" w:lineRule="auto" w:after="120"/>
      </w:pPr>
      <w:r>
        <w:br w:type="page"/>
      </w:r>
      <w:r>
        <w:rPr>
          <w:rFonts w:ascii="Arial" w:hAnsi="Arial" w:eastAsia="Arial"/>
          <w:b/>
          <w:i w:val="0"/>
          <w:color w:val="000000"/>
          <w:sz w:val="32"/>
        </w:rPr>
        <w:t>4. Diseño del experimento</w:t>
      </w:r>
    </w:p>
    <w:p>
      <w:pPr>
        <w:spacing w:line="360" w:lineRule="auto" w:after="160"/>
        <w:jc w:val="both"/>
      </w:pPr>
      <w:r>
        <w:rPr>
          <w:rFonts w:ascii="Arial" w:hAnsi="Arial" w:eastAsia="Arial"/>
          <w:b w:val="0"/>
          <w:i w:val="0"/>
          <w:color w:val="000000"/>
          <w:sz w:val="24"/>
        </w:rPr>
        <w:t>Las hipótesis no se inventaron en este módulo. La Sección 8 del Módulo 4 dejó explícitos los supuestos que sostienen la propuesta y los enunció como la agenda de experimentos de esta etapa. De esa agenda, el experimento que se corrió ataca los dos supuestos que se pueden poner a prueba con una pieza de comunicación y una página: el que sostiene el valor y el que sostiene la captura de ese valor.</w:t>
      </w:r>
    </w:p>
    <w:p>
      <w:pPr>
        <w:spacing w:line="360" w:lineRule="auto" w:after="160"/>
        <w:jc w:val="both"/>
      </w:pPr>
      <w:r>
        <w:rPr>
          <w:rFonts w:ascii="Arial" w:hAnsi="Arial" w:eastAsia="Arial"/>
          <w:b/>
          <w:i w:val="0"/>
          <w:color w:val="000000"/>
          <w:sz w:val="24"/>
        </w:rPr>
        <w:t>Hipótesis 1 · El valor está en accionar, no en mostrar.</w:t>
      </w:r>
      <w:r>
        <w:rPr>
          <w:rFonts w:ascii="Arial" w:hAnsi="Arial" w:eastAsia="Arial"/>
          <w:b w:val="0"/>
          <w:i w:val="0"/>
          <w:color w:val="000000"/>
          <w:sz w:val="24"/>
        </w:rPr>
        <w:t xml:space="preserve"> Creemos que el atleta amateur comprometido percibe más valor en un coach que interpreta y decide por él que en una aplicación que le muestra datos, y que ese interés es lo bastante fuerte como para que deje su dirección de correo antes de que el producto esté disponible. Es la hipótesis básica de la propuesta de valor: sin ella, todo lo demás sobra.</w:t>
      </w:r>
    </w:p>
    <w:p>
      <w:pPr>
        <w:spacing w:line="360" w:lineRule="auto" w:after="160"/>
        <w:jc w:val="both"/>
      </w:pPr>
      <w:r>
        <w:rPr>
          <w:rFonts w:ascii="Arial" w:hAnsi="Arial" w:eastAsia="Arial"/>
          <w:b/>
          <w:i w:val="0"/>
          <w:color w:val="000000"/>
          <w:sz w:val="24"/>
        </w:rPr>
        <w:t>Hipótesis 2 · El precio no es la barrera.</w:t>
      </w:r>
      <w:r>
        <w:rPr>
          <w:rFonts w:ascii="Arial" w:hAnsi="Arial" w:eastAsia="Arial"/>
          <w:b w:val="0"/>
          <w:i w:val="0"/>
          <w:color w:val="000000"/>
          <w:sz w:val="24"/>
        </w:rPr>
        <w:t xml:space="preserve"> Creemos que el atleta que entiende la propuesta está dispuesto a pagar del orden de US$10 por mes y que ese precio, expuesto sin eufemismos antes de pedir nada, no funciona como filtro de entrada. Esta hipótesis ataca el riesgo más serio del Módulo 4 en términos de negocio: el 72% del segmento declaró que pagaría o tal vez pagaría diez dólares mensuales, pero el 63% gasta cero hoy, y el patrón de compra dominante es probar primero y pagar después de ver valor.</w:t>
      </w:r>
    </w:p>
    <w:p>
      <w:pPr>
        <w:spacing w:line="360" w:lineRule="auto" w:after="160"/>
        <w:jc w:val="both"/>
      </w:pPr>
      <w:r>
        <w:rPr>
          <w:rFonts w:ascii="Arial" w:hAnsi="Arial" w:eastAsia="Arial"/>
          <w:b w:val="0"/>
          <w:i w:val="0"/>
          <w:color w:val="000000"/>
          <w:sz w:val="24"/>
        </w:rPr>
        <w:t>El experimento es un video MVP combinado con una landing page, es decir dos de los tipos que el módulo habilita, encadenados en un solo embudo. El video hace de gancho y de demostración; la landing hace de argumento, de puerta de precio y de instrumento de captura. El público objetivo son atletas amateurs que entrenan varias veces por semana, alcanzados por la difusión orgánica en Instagram y TikTok, sin pauta paga y con presupuesto cero.</w:t>
      </w:r>
    </w:p>
    <w:p>
      <w:pPr>
        <w:spacing w:line="360" w:lineRule="auto" w:after="160"/>
        <w:jc w:val="both"/>
      </w:pPr>
      <w:r>
        <w:rPr>
          <w:rFonts w:ascii="Arial" w:hAnsi="Arial" w:eastAsia="Arial"/>
          <w:b w:val="0"/>
          <w:i w:val="0"/>
          <w:color w:val="000000"/>
          <w:sz w:val="24"/>
        </w:rPr>
        <w:t>Los criterios de éxito se fijaron sobre tres fuentes. La primera son los benchmarks del ejemplo que el módulo entrega como referencia, donde una campaña de correo rinde alrededor de 20% de apertura y 3% de clic, y una landing con tráfico frío convierte cerca del 3%. La segunda es la corrección por tipo de tráfico: esos benchmarks corresponden a tráfico comprado o a una base de datos, mientras que la difusión de Scala se apoya en redes personales, que son tráfico tibio y convierten varias veces mejor; por eso los umbrales se fijaron por encima y el sesgo se declara. La tercera es la honestidad del corte: el criterio se escribe antes y no se ajusta después.</w:t>
      </w:r>
    </w:p>
    <w:p>
      <w:pPr>
        <w:spacing w:line="360" w:lineRule="auto" w:after="160"/>
        <w:jc w:val="both"/>
      </w:pPr>
      <w:r>
        <w:rPr>
          <w:rFonts w:ascii="Arial" w:hAnsi="Arial" w:eastAsia="Arial"/>
          <w:b w:val="0"/>
          <w:i w:val="0"/>
          <w:color w:val="000000"/>
          <w:sz w:val="24"/>
        </w:rPr>
        <w:t>Sobre esa base, los criterios definidos antes de correr fueron tres:</w:t>
      </w:r>
    </w:p>
    <w:p>
      <w:pPr>
        <w:spacing w:line="360" w:lineRule="auto" w:after="160"/>
        <w:ind w:left="340"/>
        <w:jc w:val="both"/>
      </w:pPr>
      <w:r>
        <w:rPr>
          <w:rFonts w:ascii="Arial" w:hAnsi="Arial" w:eastAsia="Arial"/>
          <w:b w:val="0"/>
          <w:i w:val="0"/>
          <w:color w:val="000000"/>
          <w:sz w:val="24"/>
        </w:rPr>
        <w:t>a) una tasa de clic superior al 5% sobre el alcance orgánico del video; b) una conversión de visitante a lead superior al 15% en la landing; y c) un volumen mínimo de 25 leads. A ellos se suma, para la Hipótesis 2, un criterio que no es numérico sino de diseño: que ninguna dirección de correo pueda dejarse sin haber pasado por el precio, condición que se garantiza por el orden de los bloques de la página. La lógica de esa decisión es que un mail dejado después de leer US$10 por mes es una señal cualitativamente distinta de un mail dejado sin saber cuánto sale.</w:t>
      </w:r>
    </w:p>
    <w:p>
      <w:pPr>
        <w:spacing w:line="360" w:lineRule="auto" w:after="160"/>
        <w:jc w:val="both"/>
      </w:pPr>
      <w:r>
        <w:rPr>
          <w:rFonts w:ascii="Arial" w:hAnsi="Arial" w:eastAsia="Arial"/>
          <w:b w:val="0"/>
          <w:i w:val="0"/>
          <w:color w:val="000000"/>
          <w:sz w:val="24"/>
        </w:rPr>
        <w:t>Una aclaración sobre el sesgo, que conviene dejar escrita antes de mostrar los números. La difusión se apoyó en la cuenta personal de uno de los fundadores, de modo que una parte del alcance corresponde a su red y hay un sesgo de complacencia esperable en esa audiencia. Se lo mitiga de tres maneras. Primero, exigiendo una acción con costo real: dejar una dirección de correo después de haber leído un precio no es lo mismo que reaccionar a una publicación. Segundo, reportando el n junto a cada porcentaje, para que ningún ratio se lea como si viniera de una muestra representativa. Y tercero, apoyándose en un dato estructural: la cuenta de marca partió de cero seguidores, con lo cual toda la audiencia que llegó a ella lo hizo sin conocer el proyecto.</w:t>
      </w:r>
    </w:p>
    <w:p>
      <w:pPr>
        <w:keepNext/>
        <w:spacing w:line="360" w:lineRule="auto" w:before="160" w:after="40"/>
      </w:pPr>
      <w:r>
        <w:rPr>
          <w:rFonts w:ascii="Arial" w:hAnsi="Arial" w:eastAsia="Arial"/>
          <w:b/>
          <w:i w:val="0"/>
          <w:color w:val="000000"/>
          <w:sz w:val="24"/>
        </w:rPr>
        <w:t>Card de experimento</w:t>
      </w:r>
    </w:p>
    <w:tbl>
      <w:tblPr>
        <w:tblStyle w:val="TableGrid"/>
        <w:tblW w:type="auto" w:w="0"/>
        <w:jc w:val="center"/>
        <w:tblLayout w:type="fixed"/>
        <w:tblLook w:firstColumn="1" w:firstRow="1" w:lastColumn="0" w:lastRow="0" w:noHBand="0" w:noVBand="1" w:val="04A0"/>
        <w:tblLayout w:type="fixed"/>
      </w:tblPr>
      <w:tblGrid>
        <w:gridCol w:w="4252"/>
        <w:gridCol w:w="4252"/>
      </w:tblGrid>
      <w:tr>
        <w:trPr>
          <w:tblHeader w:val="true"/>
        </w:trPr>
        <w:tc>
          <w:tcPr>
            <w:tcW w:type="dxa" w:w="2268"/>
          </w:tcPr>
          <w:p>
            <w:pPr>
              <w:spacing w:line="240" w:lineRule="auto" w:after="40" w:before="40"/>
            </w:pPr>
            <w:r>
              <w:rPr>
                <w:rFonts w:ascii="Arial" w:hAnsi="Arial" w:eastAsia="Arial"/>
                <w:b/>
                <w:i w:val="0"/>
                <w:color w:val="000000"/>
                <w:sz w:val="18"/>
              </w:rPr>
              <w:t>Campo</w:t>
            </w:r>
          </w:p>
        </w:tc>
        <w:tc>
          <w:tcPr>
            <w:tcW w:type="dxa" w:w="6236"/>
          </w:tcPr>
          <w:p>
            <w:pPr>
              <w:spacing w:line="240" w:lineRule="auto" w:after="40" w:before="40"/>
            </w:pPr>
            <w:r>
              <w:rPr>
                <w:rFonts w:ascii="Arial" w:hAnsi="Arial" w:eastAsia="Arial"/>
                <w:b/>
                <w:i w:val="0"/>
                <w:color w:val="000000"/>
                <w:sz w:val="18"/>
              </w:rPr>
              <w:t>Contenido</w:t>
            </w:r>
          </w:p>
        </w:tc>
      </w:tr>
      <w:tr>
        <w:tc>
          <w:tcPr>
            <w:tcW w:type="dxa" w:w="2268"/>
          </w:tcPr>
          <w:p>
            <w:pPr>
              <w:spacing w:line="240" w:lineRule="auto" w:after="40" w:before="40"/>
            </w:pPr>
            <w:r>
              <w:rPr>
                <w:rFonts w:ascii="Arial" w:hAnsi="Arial" w:eastAsia="Arial"/>
                <w:b w:val="0"/>
                <w:i w:val="0"/>
                <w:color w:val="000000"/>
                <w:sz w:val="18"/>
              </w:rPr>
              <w:t>1. Tipo y nombre</w:t>
            </w:r>
          </w:p>
        </w:tc>
        <w:tc>
          <w:tcPr>
            <w:tcW w:type="dxa" w:w="6236"/>
          </w:tcPr>
          <w:p>
            <w:pPr>
              <w:spacing w:line="240" w:lineRule="auto" w:after="40" w:before="40"/>
            </w:pPr>
            <w:r>
              <w:rPr>
                <w:rFonts w:ascii="Arial" w:hAnsi="Arial" w:eastAsia="Arial"/>
                <w:b w:val="0"/>
                <w:i w:val="0"/>
                <w:color w:val="000000"/>
                <w:sz w:val="18"/>
              </w:rPr>
              <w:t>Video MVP (tipo Dropbox) + landing page con puerta de precio — “Tu 10K empieza acá”.</w:t>
            </w:r>
          </w:p>
        </w:tc>
      </w:tr>
      <w:tr>
        <w:tc>
          <w:tcPr>
            <w:tcW w:type="dxa" w:w="2268"/>
          </w:tcPr>
          <w:p>
            <w:pPr>
              <w:spacing w:line="240" w:lineRule="auto" w:after="40" w:before="40"/>
            </w:pPr>
            <w:r>
              <w:rPr>
                <w:rFonts w:ascii="Arial" w:hAnsi="Arial" w:eastAsia="Arial"/>
                <w:b w:val="0"/>
                <w:i w:val="0"/>
                <w:color w:val="000000"/>
                <w:sz w:val="18"/>
              </w:rPr>
              <w:t>2. Hipótesis — Creemos que…</w:t>
            </w:r>
          </w:p>
        </w:tc>
        <w:tc>
          <w:tcPr>
            <w:tcW w:type="dxa" w:w="6236"/>
          </w:tcPr>
          <w:p>
            <w:pPr>
              <w:spacing w:line="240" w:lineRule="auto" w:after="40" w:before="40"/>
            </w:pPr>
            <w:r>
              <w:rPr>
                <w:rFonts w:ascii="Arial" w:hAnsi="Arial" w:eastAsia="Arial"/>
                <w:b w:val="0"/>
                <w:i w:val="0"/>
                <w:color w:val="000000"/>
                <w:sz w:val="18"/>
              </w:rPr>
              <w:t>Creemos que el atleta amateur comprometido percibe más valor en un coach que interpreta y decide por él que en una app que le muestra datos, y que ese interés alcanza para que deje su dirección de correo antes de que el producto esté disponible, incluso después de leer que cuesta US$10 por mes.</w:t>
            </w:r>
          </w:p>
        </w:tc>
      </w:tr>
      <w:tr>
        <w:tc>
          <w:tcPr>
            <w:tcW w:type="dxa" w:w="2268"/>
          </w:tcPr>
          <w:p>
            <w:pPr>
              <w:spacing w:line="240" w:lineRule="auto" w:after="40" w:before="40"/>
            </w:pPr>
            <w:r>
              <w:rPr>
                <w:rFonts w:ascii="Arial" w:hAnsi="Arial" w:eastAsia="Arial"/>
                <w:b w:val="0"/>
                <w:i w:val="0"/>
                <w:color w:val="000000"/>
                <w:sz w:val="18"/>
              </w:rPr>
              <w:t>3. Test — Explicación del test y del target</w:t>
            </w:r>
          </w:p>
        </w:tc>
        <w:tc>
          <w:tcPr>
            <w:tcW w:type="dxa" w:w="6236"/>
          </w:tcPr>
          <w:p>
            <w:pPr>
              <w:spacing w:line="240" w:lineRule="auto" w:after="40" w:before="40"/>
            </w:pPr>
            <w:r>
              <w:rPr>
                <w:rFonts w:ascii="Arial" w:hAnsi="Arial" w:eastAsia="Arial"/>
                <w:b w:val="0"/>
                <w:i w:val="0"/>
                <w:color w:val="000000"/>
                <w:sz w:val="18"/>
              </w:rPr>
              <w:t>Video vertical publicado en Instagram y TikTok, como colaboración entre la cuenta personal de un fundador y la cuenta de marca creada desde cero, con enlace a una landing que presenta la propuesta, expone el precio de US$10 por mes y cierra con una lista de espera de un solo campo. Target: atletas amateurs que entrenan varias veces por semana. Difusión orgánica, sin pauta paga.</w:t>
            </w:r>
          </w:p>
        </w:tc>
      </w:tr>
      <w:tr>
        <w:tc>
          <w:tcPr>
            <w:tcW w:type="dxa" w:w="2268"/>
          </w:tcPr>
          <w:p>
            <w:pPr>
              <w:spacing w:line="240" w:lineRule="auto" w:after="40" w:before="40"/>
            </w:pPr>
            <w:r>
              <w:rPr>
                <w:rFonts w:ascii="Arial" w:hAnsi="Arial" w:eastAsia="Arial"/>
                <w:b w:val="0"/>
                <w:i w:val="0"/>
                <w:color w:val="000000"/>
                <w:sz w:val="18"/>
              </w:rPr>
              <w:t>4. Métrica — Cómo mediremos los resultados</w:t>
            </w:r>
          </w:p>
        </w:tc>
        <w:tc>
          <w:tcPr>
            <w:tcW w:type="dxa" w:w="6236"/>
          </w:tcPr>
          <w:p>
            <w:pPr>
              <w:spacing w:line="240" w:lineRule="auto" w:after="40" w:before="40"/>
            </w:pPr>
            <w:r>
              <w:rPr>
                <w:rFonts w:ascii="Arial" w:hAnsi="Arial" w:eastAsia="Arial"/>
                <w:b w:val="0"/>
                <w:i w:val="0"/>
                <w:color w:val="000000"/>
                <w:sz w:val="18"/>
              </w:rPr>
              <w:t>Reproducciones del video, tasa de clic sobre ese alcance, y el embudo de la landing sobre visitantes únicos: entrada, llegada al bloque de precio, llegada al formulario y alta efectiva.</w:t>
            </w:r>
          </w:p>
        </w:tc>
      </w:tr>
      <w:tr>
        <w:tc>
          <w:tcPr>
            <w:tcW w:type="dxa" w:w="2268"/>
          </w:tcPr>
          <w:p>
            <w:pPr>
              <w:spacing w:line="240" w:lineRule="auto" w:after="40" w:before="40"/>
            </w:pPr>
            <w:r>
              <w:rPr>
                <w:rFonts w:ascii="Arial" w:hAnsi="Arial" w:eastAsia="Arial"/>
                <w:b w:val="0"/>
                <w:i w:val="0"/>
                <w:color w:val="000000"/>
                <w:sz w:val="18"/>
              </w:rPr>
              <w:t>5. Éxito — Cómo definimos si fue exitoso</w:t>
            </w:r>
          </w:p>
        </w:tc>
        <w:tc>
          <w:tcPr>
            <w:tcW w:type="dxa" w:w="6236"/>
          </w:tcPr>
          <w:p>
            <w:pPr>
              <w:spacing w:line="240" w:lineRule="auto" w:after="40" w:before="40"/>
            </w:pPr>
            <w:r>
              <w:rPr>
                <w:rFonts w:ascii="Arial" w:hAnsi="Arial" w:eastAsia="Arial"/>
                <w:b w:val="0"/>
                <w:i w:val="0"/>
                <w:color w:val="000000"/>
                <w:sz w:val="18"/>
              </w:rPr>
              <w:t>Tasa de clic mayor al 5% sobre el alcance orgánico, conversión de visitante a lead mayor al 15% y un mínimo de 25 leads. Condición de diseño para la lectura del precio: que el 100% de los leads se produzca después del bloque de precio.</w:t>
            </w:r>
          </w:p>
        </w:tc>
      </w:tr>
    </w:tbl>
    <w:p>
      <w:pPr>
        <w:spacing w:after="0"/>
      </w:pPr>
    </w:p>
    <w:p>
      <w:pPr>
        <w:spacing w:line="240" w:lineRule="auto" w:before="40" w:after="240"/>
        <w:jc w:val="center"/>
      </w:pPr>
      <w:r>
        <w:rPr>
          <w:rFonts w:ascii="Arial" w:hAnsi="Arial" w:eastAsia="Arial"/>
          <w:b w:val="0"/>
          <w:i/>
          <w:color w:val="000000"/>
          <w:sz w:val="20"/>
        </w:rPr>
        <w:t>Tabla 1. Card de experimento, completada antes de correr el test.</w:t>
      </w:r>
    </w:p>
    <w:p>
      <w:pPr>
        <w:keepNext/>
        <w:spacing w:line="360" w:lineRule="auto" w:before="160" w:after="40"/>
      </w:pPr>
      <w:r>
        <w:rPr>
          <w:rFonts w:ascii="Arial" w:hAnsi="Arial" w:eastAsia="Arial"/>
          <w:b/>
          <w:i w:val="0"/>
          <w:color w:val="000000"/>
          <w:sz w:val="24"/>
        </w:rPr>
        <w:t>Flow del experimento</w:t>
      </w:r>
    </w:p>
    <w:tbl>
      <w:tblPr>
        <w:tblStyle w:val="TableGrid"/>
        <w:tblW w:type="auto" w:w="0"/>
        <w:jc w:val="center"/>
        <w:tblLayout w:type="fixed"/>
        <w:tblLook w:firstColumn="1" w:firstRow="1" w:lastColumn="0" w:lastRow="0" w:noHBand="0" w:noVBand="1" w:val="04A0"/>
        <w:tblLayout w:type="fixed"/>
      </w:tblPr>
      <w:tblGrid>
        <w:gridCol w:w="4252"/>
        <w:gridCol w:w="4252"/>
      </w:tblGrid>
      <w:tr>
        <w:trPr>
          <w:tblHeader w:val="true"/>
        </w:trPr>
        <w:tc>
          <w:tcPr>
            <w:tcW w:type="dxa" w:w="1814"/>
          </w:tcPr>
          <w:p>
            <w:pPr>
              <w:spacing w:line="240" w:lineRule="auto" w:after="40" w:before="40"/>
            </w:pPr>
            <w:r>
              <w:rPr>
                <w:rFonts w:ascii="Arial" w:hAnsi="Arial" w:eastAsia="Arial"/>
                <w:b/>
                <w:i w:val="0"/>
                <w:color w:val="000000"/>
                <w:sz w:val="18"/>
              </w:rPr>
              <w:t>Paso</w:t>
            </w:r>
          </w:p>
        </w:tc>
        <w:tc>
          <w:tcPr>
            <w:tcW w:type="dxa" w:w="6690"/>
          </w:tcPr>
          <w:p>
            <w:pPr>
              <w:spacing w:line="240" w:lineRule="auto" w:after="40" w:before="40"/>
            </w:pPr>
            <w:r>
              <w:rPr>
                <w:rFonts w:ascii="Arial" w:hAnsi="Arial" w:eastAsia="Arial"/>
                <w:b/>
                <w:i w:val="0"/>
                <w:color w:val="000000"/>
                <w:sz w:val="18"/>
              </w:rPr>
              <w:t>Definición</w:t>
            </w:r>
          </w:p>
        </w:tc>
      </w:tr>
      <w:tr>
        <w:tc>
          <w:tcPr>
            <w:tcW w:type="dxa" w:w="1814"/>
          </w:tcPr>
          <w:p>
            <w:pPr>
              <w:spacing w:line="240" w:lineRule="auto" w:after="40" w:before="40"/>
            </w:pPr>
            <w:r>
              <w:rPr>
                <w:rFonts w:ascii="Arial" w:hAnsi="Arial" w:eastAsia="Arial"/>
                <w:b w:val="0"/>
                <w:i w:val="0"/>
                <w:color w:val="000000"/>
                <w:sz w:val="18"/>
              </w:rPr>
              <w:t>Público</w:t>
            </w:r>
          </w:p>
        </w:tc>
        <w:tc>
          <w:tcPr>
            <w:tcW w:type="dxa" w:w="6690"/>
          </w:tcPr>
          <w:p>
            <w:pPr>
              <w:spacing w:line="240" w:lineRule="auto" w:after="40" w:before="40"/>
            </w:pPr>
            <w:r>
              <w:rPr>
                <w:rFonts w:ascii="Arial" w:hAnsi="Arial" w:eastAsia="Arial"/>
                <w:b w:val="0"/>
                <w:i w:val="0"/>
                <w:color w:val="000000"/>
                <w:sz w:val="18"/>
              </w:rPr>
              <w:t>Atletas amateurs que entrenan varias veces por semana, alcanzados por la difusión orgánica en Instagram y TikTok y por el algoritmo de esas plataformas más allá de la red propia.</w:t>
            </w:r>
          </w:p>
        </w:tc>
      </w:tr>
      <w:tr>
        <w:tc>
          <w:tcPr>
            <w:tcW w:type="dxa" w:w="1814"/>
          </w:tcPr>
          <w:p>
            <w:pPr>
              <w:spacing w:line="240" w:lineRule="auto" w:after="40" w:before="40"/>
            </w:pPr>
            <w:r>
              <w:rPr>
                <w:rFonts w:ascii="Arial" w:hAnsi="Arial" w:eastAsia="Arial"/>
                <w:b w:val="0"/>
                <w:i w:val="0"/>
                <w:color w:val="000000"/>
                <w:sz w:val="18"/>
              </w:rPr>
              <w:t>Contenido</w:t>
            </w:r>
          </w:p>
        </w:tc>
        <w:tc>
          <w:tcPr>
            <w:tcW w:type="dxa" w:w="6690"/>
          </w:tcPr>
          <w:p>
            <w:pPr>
              <w:spacing w:line="240" w:lineRule="auto" w:after="40" w:before="40"/>
            </w:pPr>
            <w:r>
              <w:rPr>
                <w:rFonts w:ascii="Arial" w:hAnsi="Arial" w:eastAsia="Arial"/>
                <w:b w:val="0"/>
                <w:i w:val="0"/>
                <w:color w:val="000000"/>
                <w:sz w:val="18"/>
              </w:rPr>
              <w:t>Video vertical de lanzamiento sobre el producto real, más una landing de siete bloques que construye el problema antes de mostrar la solución.</w:t>
            </w:r>
          </w:p>
        </w:tc>
      </w:tr>
      <w:tr>
        <w:tc>
          <w:tcPr>
            <w:tcW w:type="dxa" w:w="1814"/>
          </w:tcPr>
          <w:p>
            <w:pPr>
              <w:spacing w:line="240" w:lineRule="auto" w:after="40" w:before="40"/>
            </w:pPr>
            <w:r>
              <w:rPr>
                <w:rFonts w:ascii="Arial" w:hAnsi="Arial" w:eastAsia="Arial"/>
                <w:b w:val="0"/>
                <w:i w:val="0"/>
                <w:color w:val="000000"/>
                <w:sz w:val="18"/>
              </w:rPr>
              <w:t>Canal</w:t>
            </w:r>
          </w:p>
        </w:tc>
        <w:tc>
          <w:tcPr>
            <w:tcW w:type="dxa" w:w="6690"/>
          </w:tcPr>
          <w:p>
            <w:pPr>
              <w:spacing w:line="240" w:lineRule="auto" w:after="40" w:before="40"/>
            </w:pPr>
            <w:r>
              <w:rPr>
                <w:rFonts w:ascii="Arial" w:hAnsi="Arial" w:eastAsia="Arial"/>
                <w:b w:val="0"/>
                <w:i w:val="0"/>
                <w:color w:val="000000"/>
                <w:sz w:val="18"/>
              </w:rPr>
              <w:t>Instagram (cuenta personal en colaboración con la cuenta de marca) y TikTok, en formato de video corto, con el enlace a la landing en el perfil.</w:t>
            </w:r>
          </w:p>
        </w:tc>
      </w:tr>
      <w:tr>
        <w:tc>
          <w:tcPr>
            <w:tcW w:type="dxa" w:w="1814"/>
          </w:tcPr>
          <w:p>
            <w:pPr>
              <w:spacing w:line="240" w:lineRule="auto" w:after="40" w:before="40"/>
            </w:pPr>
            <w:r>
              <w:rPr>
                <w:rFonts w:ascii="Arial" w:hAnsi="Arial" w:eastAsia="Arial"/>
                <w:b w:val="0"/>
                <w:i w:val="0"/>
                <w:color w:val="000000"/>
                <w:sz w:val="18"/>
              </w:rPr>
              <w:t>CTA</w:t>
            </w:r>
          </w:p>
        </w:tc>
        <w:tc>
          <w:tcPr>
            <w:tcW w:type="dxa" w:w="6690"/>
          </w:tcPr>
          <w:p>
            <w:pPr>
              <w:spacing w:line="240" w:lineRule="auto" w:after="40" w:before="40"/>
            </w:pPr>
            <w:r>
              <w:rPr>
                <w:rFonts w:ascii="Arial" w:hAnsi="Arial" w:eastAsia="Arial"/>
                <w:b w:val="0"/>
                <w:i w:val="0"/>
                <w:color w:val="000000"/>
                <w:sz w:val="18"/>
              </w:rPr>
              <w:t>“Anotarme a la lista”, disponible en el gancho inicial y repetido en el bloque de precio, que lleva al formulario de lista de espera.</w:t>
            </w:r>
          </w:p>
        </w:tc>
      </w:tr>
      <w:tr>
        <w:tc>
          <w:tcPr>
            <w:tcW w:type="dxa" w:w="1814"/>
          </w:tcPr>
          <w:p>
            <w:pPr>
              <w:spacing w:line="240" w:lineRule="auto" w:after="40" w:before="40"/>
            </w:pPr>
            <w:r>
              <w:rPr>
                <w:rFonts w:ascii="Arial" w:hAnsi="Arial" w:eastAsia="Arial"/>
                <w:b w:val="0"/>
                <w:i w:val="0"/>
                <w:color w:val="000000"/>
                <w:sz w:val="18"/>
              </w:rPr>
              <w:t>Resultado esperado</w:t>
            </w:r>
          </w:p>
        </w:tc>
        <w:tc>
          <w:tcPr>
            <w:tcW w:type="dxa" w:w="6690"/>
          </w:tcPr>
          <w:p>
            <w:pPr>
              <w:spacing w:line="240" w:lineRule="auto" w:after="40" w:before="40"/>
            </w:pPr>
            <w:r>
              <w:rPr>
                <w:rFonts w:ascii="Arial" w:hAnsi="Arial" w:eastAsia="Arial"/>
                <w:b w:val="0"/>
                <w:i w:val="0"/>
                <w:color w:val="000000"/>
                <w:sz w:val="18"/>
              </w:rPr>
              <w:t>Una dirección de correo dejada después de leer el precio, antes de que el producto esté abierto, como evidencia de interés real en la propuesta de valor y de que US$10 por mes no expulsa.</w:t>
            </w:r>
          </w:p>
        </w:tc>
      </w:tr>
    </w:tbl>
    <w:p>
      <w:pPr>
        <w:spacing w:after="0"/>
      </w:pPr>
    </w:p>
    <w:p>
      <w:pPr>
        <w:spacing w:line="240" w:lineRule="auto" w:before="40" w:after="240"/>
        <w:jc w:val="center"/>
      </w:pPr>
      <w:r>
        <w:rPr>
          <w:rFonts w:ascii="Arial" w:hAnsi="Arial" w:eastAsia="Arial"/>
          <w:b w:val="0"/>
          <w:i/>
          <w:color w:val="000000"/>
          <w:sz w:val="20"/>
        </w:rPr>
        <w:t>Tabla 2. Flow del experimento en los cinco pasos del framework.</w:t>
      </w:r>
    </w:p>
    <w:p>
      <w:pPr>
        <w:keepNext/>
        <w:spacing w:line="300" w:lineRule="auto" w:after="120"/>
      </w:pPr>
      <w:r>
        <w:br w:type="page"/>
      </w:r>
      <w:r>
        <w:rPr>
          <w:rFonts w:ascii="Arial" w:hAnsi="Arial" w:eastAsia="Arial"/>
          <w:b/>
          <w:i w:val="0"/>
          <w:color w:val="000000"/>
          <w:sz w:val="32"/>
        </w:rPr>
        <w:t>5. Evidencia empírica de validación</w:t>
      </w:r>
    </w:p>
    <w:p>
      <w:pPr>
        <w:spacing w:line="360" w:lineRule="auto" w:after="160"/>
        <w:jc w:val="both"/>
      </w:pPr>
      <w:r>
        <w:rPr>
          <w:rFonts w:ascii="Arial" w:hAnsi="Arial" w:eastAsia="Arial"/>
          <w:b w:val="0"/>
          <w:i w:val="0"/>
          <w:color w:val="000000"/>
          <w:sz w:val="24"/>
        </w:rPr>
        <w:t>El experimento se corrió en la última semana de agosto de 2026. La landing quedó publicada el 27 de agosto y el video se subió el [completar] de agosto; las cifras que siguen corresponden a las primeras cuarenta y ocho horas desde la publicación, que es la ventana en la que se agotó prácticamente todo el tráfico.</w:t>
      </w:r>
    </w:p>
    <w:p>
      <w:pPr>
        <w:keepNext/>
        <w:spacing w:line="360" w:lineRule="auto" w:before="160" w:after="40"/>
      </w:pPr>
      <w:r>
        <w:rPr>
          <w:rFonts w:ascii="Arial" w:hAnsi="Arial" w:eastAsia="Arial"/>
          <w:b/>
          <w:i w:val="0"/>
          <w:color w:val="000000"/>
          <w:sz w:val="24"/>
        </w:rPr>
        <w:t>5.1 El alcance</w:t>
      </w:r>
    </w:p>
    <w:p>
      <w:pPr>
        <w:spacing w:line="360" w:lineRule="auto" w:after="160"/>
        <w:jc w:val="both"/>
      </w:pPr>
      <w:r>
        <w:rPr>
          <w:rFonts w:ascii="Arial" w:hAnsi="Arial" w:eastAsia="Arial"/>
          <w:b w:val="0"/>
          <w:i w:val="0"/>
          <w:color w:val="000000"/>
          <w:sz w:val="24"/>
        </w:rPr>
        <w:t>El video acumuló 7.266 reproducciones en cuarenta y ocho horas, con 136 me gusta, 39 comentarios, 46 compartidos y 11 reposteos. La proporción entre esos números importa tanto como el volumen: una publicación que genera un comentario cada tres me gusta y que se comparte casi tantas veces como se comenta indica que el contenido se discutió y se pasó a terceros, y no sólo que se reaccionó por cortesía. Las otras publicaciones de la cuenta, subidas en el mismo período y sin colaboración, quedaron en 508 y 365 reproducciones, lo que da la medida de cuánto aportó el alcance prestado de la cuenta personal.</w:t>
      </w:r>
    </w:p>
    <w:p>
      <w:pPr>
        <w:spacing w:line="360" w:lineRule="auto" w:after="160"/>
        <w:jc w:val="both"/>
      </w:pPr>
      <w:r>
        <w:rPr>
          <w:rFonts w:ascii="Arial" w:hAnsi="Arial" w:eastAsia="Arial"/>
          <w:b w:val="0"/>
          <w:i w:val="0"/>
          <w:color w:val="000000"/>
          <w:sz w:val="24"/>
        </w:rPr>
        <w:t>La cuenta de marca, creada para este experimento sin ningún seguidor, terminó la ventana con 76 seguidores. Es un número modesto en términos absolutos y significativo en términos de método: son 76 personas que no seguían nada de Scala porque Scala no existía como marca, y que decidieron seguirla después de ver la pieza. A eso se suma una señal que no estaba prevista y que conviene registrar: una marca de suplementación deportiva escribió por interés comercial a partir del video, lo que sugiere que la propuesta se leyó como un proyecto real y no como un ejercicio.</w:t>
      </w:r>
    </w:p>
    <w:p>
      <w:pPr>
        <w:keepNext/>
        <w:spacing w:line="360" w:lineRule="auto" w:before="160" w:after="40"/>
      </w:pPr>
      <w:r>
        <w:rPr>
          <w:rFonts w:ascii="Arial" w:hAnsi="Arial" w:eastAsia="Arial"/>
          <w:b/>
          <w:i w:val="0"/>
          <w:color w:val="000000"/>
          <w:sz w:val="24"/>
        </w:rPr>
        <w:t>5.2 El embudo de la landing</w:t>
      </w:r>
    </w:p>
    <w:p>
      <w:pPr>
        <w:spacing w:line="360" w:lineRule="auto" w:after="160"/>
        <w:jc w:val="both"/>
      </w:pPr>
      <w:r>
        <w:rPr>
          <w:rFonts w:ascii="Arial" w:hAnsi="Arial" w:eastAsia="Arial"/>
          <w:b w:val="0"/>
          <w:i w:val="0"/>
          <w:color w:val="000000"/>
          <w:sz w:val="24"/>
        </w:rPr>
        <w:t>De ese alcance, 179 visitantes únicos entraron a la landing. El recorrido posterior fue el siguiente: 132 llegaron al bloque de precio, es decir el 73,7% de los que entraron; 129 llegaron al formulario, el 72,1% del total y el 97,7% del paso anterior; y 111 completaron el alta, el 62,0% de todos los visitantes y el 86,0% de los que llegaron al formulario. Medido sobre los que efectivamente leyeron el precio, el 84,1% dejó su dirección de correo.</w:t>
      </w:r>
    </w:p>
    <w:p>
      <w:pPr>
        <w:spacing w:line="360" w:lineRule="auto" w:after="160"/>
        <w:jc w:val="both"/>
      </w:pPr>
      <w:r>
        <w:rPr>
          <w:rFonts w:ascii="Arial" w:hAnsi="Arial" w:eastAsia="Arial"/>
          <w:b w:val="0"/>
          <w:i w:val="0"/>
          <w:color w:val="000000"/>
          <w:sz w:val="24"/>
        </w:rPr>
        <w:t>Cada escalón dice algo distinto. La caída más grande está al principio, entre la entrada y el precio: uno de cada cuatro visitantes abandona la página antes de llegar a la mitad, que es el desgranamiento normal de cualquier landing larga y el único punto del recorrido donde hay margen de optimización evidente. El segundo escalón es prácticamente inexistente: entre el precio y el formulario se pierde el 2,3%, lo que significa que leer “US$10 por mes” casi no hizo abandonar a nadie. Y el tercero, del formulario al alta, retiene al 86%, una cifra alta para un formulario que pide un dato personal a cambio de un producto que todavía no se puede usar.</w:t>
      </w:r>
    </w:p>
    <w:p>
      <w:pPr>
        <w:keepNext/>
        <w:spacing w:line="360" w:lineRule="auto" w:before="160" w:after="40"/>
      </w:pPr>
      <w:r>
        <w:rPr>
          <w:rFonts w:ascii="Arial" w:hAnsi="Arial" w:eastAsia="Arial"/>
          <w:b/>
          <w:i w:val="0"/>
          <w:color w:val="000000"/>
          <w:sz w:val="24"/>
        </w:rPr>
        <w:t>5.3 Resultados contra criterios</w:t>
      </w:r>
    </w:p>
    <w:tbl>
      <w:tblPr>
        <w:tblStyle w:val="TableGrid"/>
        <w:tblW w:type="auto" w:w="0"/>
        <w:jc w:val="center"/>
        <w:tblLayout w:type="fixed"/>
        <w:tblLook w:firstColumn="1" w:firstRow="1" w:lastColumn="0" w:lastRow="0" w:noHBand="0" w:noVBand="1" w:val="04A0"/>
        <w:tblLayout w:type="fixed"/>
      </w:tblPr>
      <w:tblGrid>
        <w:gridCol w:w="2126"/>
        <w:gridCol w:w="2126"/>
        <w:gridCol w:w="2126"/>
        <w:gridCol w:w="2126"/>
      </w:tblGrid>
      <w:tr>
        <w:trPr>
          <w:tblHeader w:val="true"/>
        </w:trPr>
        <w:tc>
          <w:tcPr>
            <w:tcW w:type="dxa" w:w="2438"/>
          </w:tcPr>
          <w:p>
            <w:pPr>
              <w:spacing w:line="240" w:lineRule="auto" w:after="40" w:before="40"/>
            </w:pPr>
            <w:r>
              <w:rPr>
                <w:rFonts w:ascii="Arial" w:hAnsi="Arial" w:eastAsia="Arial"/>
                <w:b/>
                <w:i w:val="0"/>
                <w:color w:val="000000"/>
                <w:sz w:val="18"/>
              </w:rPr>
              <w:t>Métrica</w:t>
            </w:r>
          </w:p>
        </w:tc>
        <w:tc>
          <w:tcPr>
            <w:tcW w:type="dxa" w:w="1984"/>
          </w:tcPr>
          <w:p>
            <w:pPr>
              <w:spacing w:line="240" w:lineRule="auto" w:after="40" w:before="40"/>
            </w:pPr>
            <w:r>
              <w:rPr>
                <w:rFonts w:ascii="Arial" w:hAnsi="Arial" w:eastAsia="Arial"/>
                <w:b/>
                <w:i w:val="0"/>
                <w:color w:val="000000"/>
                <w:sz w:val="18"/>
              </w:rPr>
              <w:t>Criterio fijado de antemano</w:t>
            </w:r>
          </w:p>
        </w:tc>
        <w:tc>
          <w:tcPr>
            <w:tcW w:type="dxa" w:w="2381"/>
          </w:tcPr>
          <w:p>
            <w:pPr>
              <w:spacing w:line="240" w:lineRule="auto" w:after="40" w:before="40"/>
            </w:pPr>
            <w:r>
              <w:rPr>
                <w:rFonts w:ascii="Arial" w:hAnsi="Arial" w:eastAsia="Arial"/>
                <w:b/>
                <w:i w:val="0"/>
                <w:color w:val="000000"/>
                <w:sz w:val="18"/>
              </w:rPr>
              <w:t>Resultado obtenido</w:t>
            </w:r>
          </w:p>
        </w:tc>
        <w:tc>
          <w:tcPr>
            <w:tcW w:type="dxa" w:w="1701"/>
          </w:tcPr>
          <w:p>
            <w:pPr>
              <w:spacing w:line="240" w:lineRule="auto" w:after="40" w:before="40"/>
            </w:pPr>
            <w:r>
              <w:rPr>
                <w:rFonts w:ascii="Arial" w:hAnsi="Arial" w:eastAsia="Arial"/>
                <w:b/>
                <w:i w:val="0"/>
                <w:color w:val="000000"/>
                <w:sz w:val="18"/>
              </w:rPr>
              <w:t>Estado</w:t>
            </w:r>
          </w:p>
        </w:tc>
      </w:tr>
      <w:tr>
        <w:tc>
          <w:tcPr>
            <w:tcW w:type="dxa" w:w="2438"/>
          </w:tcPr>
          <w:p>
            <w:pPr>
              <w:spacing w:line="240" w:lineRule="auto" w:after="40" w:before="40"/>
            </w:pPr>
            <w:r>
              <w:rPr>
                <w:rFonts w:ascii="Arial" w:hAnsi="Arial" w:eastAsia="Arial"/>
                <w:b w:val="0"/>
                <w:i w:val="0"/>
                <w:color w:val="000000"/>
                <w:sz w:val="18"/>
              </w:rPr>
              <w:t>Tasa de clic sobre el alcance</w:t>
            </w:r>
          </w:p>
        </w:tc>
        <w:tc>
          <w:tcPr>
            <w:tcW w:type="dxa" w:w="1984"/>
          </w:tcPr>
          <w:p>
            <w:pPr>
              <w:spacing w:line="240" w:lineRule="auto" w:after="40" w:before="40"/>
            </w:pPr>
            <w:r>
              <w:rPr>
                <w:rFonts w:ascii="Arial" w:hAnsi="Arial" w:eastAsia="Arial"/>
                <w:b w:val="0"/>
                <w:i w:val="0"/>
                <w:color w:val="000000"/>
                <w:sz w:val="18"/>
              </w:rPr>
              <w:t>Mayor al 5%</w:t>
            </w:r>
          </w:p>
        </w:tc>
        <w:tc>
          <w:tcPr>
            <w:tcW w:type="dxa" w:w="2381"/>
          </w:tcPr>
          <w:p>
            <w:pPr>
              <w:spacing w:line="240" w:lineRule="auto" w:after="40" w:before="40"/>
            </w:pPr>
            <w:r>
              <w:rPr>
                <w:rFonts w:ascii="Arial" w:hAnsi="Arial" w:eastAsia="Arial"/>
                <w:b w:val="0"/>
                <w:i w:val="0"/>
                <w:color w:val="000000"/>
                <w:sz w:val="18"/>
              </w:rPr>
              <w:t>2,5% (179 sobre 7.266)</w:t>
            </w:r>
          </w:p>
        </w:tc>
        <w:tc>
          <w:tcPr>
            <w:tcW w:type="dxa" w:w="1701"/>
          </w:tcPr>
          <w:p>
            <w:pPr>
              <w:spacing w:line="240" w:lineRule="auto" w:after="40" w:before="40"/>
            </w:pPr>
            <w:r>
              <w:rPr>
                <w:rFonts w:ascii="Arial" w:hAnsi="Arial" w:eastAsia="Arial"/>
                <w:b w:val="0"/>
                <w:i w:val="0"/>
                <w:color w:val="000000"/>
                <w:sz w:val="18"/>
              </w:rPr>
              <w:t>No alcanzado</w:t>
            </w:r>
          </w:p>
        </w:tc>
      </w:tr>
      <w:tr>
        <w:tc>
          <w:tcPr>
            <w:tcW w:type="dxa" w:w="2438"/>
          </w:tcPr>
          <w:p>
            <w:pPr>
              <w:spacing w:line="240" w:lineRule="auto" w:after="40" w:before="40"/>
            </w:pPr>
            <w:r>
              <w:rPr>
                <w:rFonts w:ascii="Arial" w:hAnsi="Arial" w:eastAsia="Arial"/>
                <w:b w:val="0"/>
                <w:i w:val="0"/>
                <w:color w:val="000000"/>
                <w:sz w:val="18"/>
              </w:rPr>
              <w:t>Conversión de visitante a lead</w:t>
            </w:r>
          </w:p>
        </w:tc>
        <w:tc>
          <w:tcPr>
            <w:tcW w:type="dxa" w:w="1984"/>
          </w:tcPr>
          <w:p>
            <w:pPr>
              <w:spacing w:line="240" w:lineRule="auto" w:after="40" w:before="40"/>
            </w:pPr>
            <w:r>
              <w:rPr>
                <w:rFonts w:ascii="Arial" w:hAnsi="Arial" w:eastAsia="Arial"/>
                <w:b w:val="0"/>
                <w:i w:val="0"/>
                <w:color w:val="000000"/>
                <w:sz w:val="18"/>
              </w:rPr>
              <w:t>Mayor al 15%</w:t>
            </w:r>
          </w:p>
        </w:tc>
        <w:tc>
          <w:tcPr>
            <w:tcW w:type="dxa" w:w="2381"/>
          </w:tcPr>
          <w:p>
            <w:pPr>
              <w:spacing w:line="240" w:lineRule="auto" w:after="40" w:before="40"/>
            </w:pPr>
            <w:r>
              <w:rPr>
                <w:rFonts w:ascii="Arial" w:hAnsi="Arial" w:eastAsia="Arial"/>
                <w:b w:val="0"/>
                <w:i w:val="0"/>
                <w:color w:val="000000"/>
                <w:sz w:val="18"/>
              </w:rPr>
              <w:t>62,0% (111 sobre 179)</w:t>
            </w:r>
          </w:p>
        </w:tc>
        <w:tc>
          <w:tcPr>
            <w:tcW w:type="dxa" w:w="1701"/>
          </w:tcPr>
          <w:p>
            <w:pPr>
              <w:spacing w:line="240" w:lineRule="auto" w:after="40" w:before="40"/>
            </w:pPr>
            <w:r>
              <w:rPr>
                <w:rFonts w:ascii="Arial" w:hAnsi="Arial" w:eastAsia="Arial"/>
                <w:b w:val="0"/>
                <w:i w:val="0"/>
                <w:color w:val="000000"/>
                <w:sz w:val="18"/>
              </w:rPr>
              <w:t>Superado</w:t>
            </w:r>
          </w:p>
        </w:tc>
      </w:tr>
      <w:tr>
        <w:tc>
          <w:tcPr>
            <w:tcW w:type="dxa" w:w="2438"/>
          </w:tcPr>
          <w:p>
            <w:pPr>
              <w:spacing w:line="240" w:lineRule="auto" w:after="40" w:before="40"/>
            </w:pPr>
            <w:r>
              <w:rPr>
                <w:rFonts w:ascii="Arial" w:hAnsi="Arial" w:eastAsia="Arial"/>
                <w:b w:val="0"/>
                <w:i w:val="0"/>
                <w:color w:val="000000"/>
                <w:sz w:val="18"/>
              </w:rPr>
              <w:t>Volumen de leads</w:t>
            </w:r>
          </w:p>
        </w:tc>
        <w:tc>
          <w:tcPr>
            <w:tcW w:type="dxa" w:w="1984"/>
          </w:tcPr>
          <w:p>
            <w:pPr>
              <w:spacing w:line="240" w:lineRule="auto" w:after="40" w:before="40"/>
            </w:pPr>
            <w:r>
              <w:rPr>
                <w:rFonts w:ascii="Arial" w:hAnsi="Arial" w:eastAsia="Arial"/>
                <w:b w:val="0"/>
                <w:i w:val="0"/>
                <w:color w:val="000000"/>
                <w:sz w:val="18"/>
              </w:rPr>
              <w:t>Mínimo de 25</w:t>
            </w:r>
          </w:p>
        </w:tc>
        <w:tc>
          <w:tcPr>
            <w:tcW w:type="dxa" w:w="2381"/>
          </w:tcPr>
          <w:p>
            <w:pPr>
              <w:spacing w:line="240" w:lineRule="auto" w:after="40" w:before="40"/>
            </w:pPr>
            <w:r>
              <w:rPr>
                <w:rFonts w:ascii="Arial" w:hAnsi="Arial" w:eastAsia="Arial"/>
                <w:b w:val="0"/>
                <w:i w:val="0"/>
                <w:color w:val="000000"/>
                <w:sz w:val="18"/>
              </w:rPr>
              <w:t>111</w:t>
            </w:r>
          </w:p>
        </w:tc>
        <w:tc>
          <w:tcPr>
            <w:tcW w:type="dxa" w:w="1701"/>
          </w:tcPr>
          <w:p>
            <w:pPr>
              <w:spacing w:line="240" w:lineRule="auto" w:after="40" w:before="40"/>
            </w:pPr>
            <w:r>
              <w:rPr>
                <w:rFonts w:ascii="Arial" w:hAnsi="Arial" w:eastAsia="Arial"/>
                <w:b w:val="0"/>
                <w:i w:val="0"/>
                <w:color w:val="000000"/>
                <w:sz w:val="18"/>
              </w:rPr>
              <w:t>Superado</w:t>
            </w:r>
          </w:p>
        </w:tc>
      </w:tr>
      <w:tr>
        <w:tc>
          <w:tcPr>
            <w:tcW w:type="dxa" w:w="2438"/>
          </w:tcPr>
          <w:p>
            <w:pPr>
              <w:spacing w:line="240" w:lineRule="auto" w:after="40" w:before="40"/>
            </w:pPr>
            <w:r>
              <w:rPr>
                <w:rFonts w:ascii="Arial" w:hAnsi="Arial" w:eastAsia="Arial"/>
                <w:b w:val="0"/>
                <w:i w:val="0"/>
                <w:color w:val="000000"/>
                <w:sz w:val="18"/>
              </w:rPr>
              <w:t>Leads posteriores al precio</w:t>
            </w:r>
          </w:p>
        </w:tc>
        <w:tc>
          <w:tcPr>
            <w:tcW w:type="dxa" w:w="1984"/>
          </w:tcPr>
          <w:p>
            <w:pPr>
              <w:spacing w:line="240" w:lineRule="auto" w:after="40" w:before="40"/>
            </w:pPr>
            <w:r>
              <w:rPr>
                <w:rFonts w:ascii="Arial" w:hAnsi="Arial" w:eastAsia="Arial"/>
                <w:b w:val="0"/>
                <w:i w:val="0"/>
                <w:color w:val="000000"/>
                <w:sz w:val="18"/>
              </w:rPr>
              <w:t>100% por diseño</w:t>
            </w:r>
          </w:p>
        </w:tc>
        <w:tc>
          <w:tcPr>
            <w:tcW w:type="dxa" w:w="2381"/>
          </w:tcPr>
          <w:p>
            <w:pPr>
              <w:spacing w:line="240" w:lineRule="auto" w:after="40" w:before="40"/>
            </w:pPr>
            <w:r>
              <w:rPr>
                <w:rFonts w:ascii="Arial" w:hAnsi="Arial" w:eastAsia="Arial"/>
                <w:b w:val="0"/>
                <w:i w:val="0"/>
                <w:color w:val="000000"/>
                <w:sz w:val="18"/>
              </w:rPr>
              <w:t>111 de 111</w:t>
            </w:r>
          </w:p>
        </w:tc>
        <w:tc>
          <w:tcPr>
            <w:tcW w:type="dxa" w:w="1701"/>
          </w:tcPr>
          <w:p>
            <w:pPr>
              <w:spacing w:line="240" w:lineRule="auto" w:after="40" w:before="40"/>
            </w:pPr>
            <w:r>
              <w:rPr>
                <w:rFonts w:ascii="Arial" w:hAnsi="Arial" w:eastAsia="Arial"/>
                <w:b w:val="0"/>
                <w:i w:val="0"/>
                <w:color w:val="000000"/>
                <w:sz w:val="18"/>
              </w:rPr>
              <w:t>Cumplido</w:t>
            </w:r>
          </w:p>
        </w:tc>
      </w:tr>
    </w:tbl>
    <w:p>
      <w:pPr>
        <w:spacing w:after="0"/>
      </w:pPr>
    </w:p>
    <w:p>
      <w:pPr>
        <w:spacing w:line="240" w:lineRule="auto" w:before="40" w:after="240"/>
        <w:jc w:val="center"/>
      </w:pPr>
      <w:r>
        <w:rPr>
          <w:rFonts w:ascii="Arial" w:hAnsi="Arial" w:eastAsia="Arial"/>
          <w:b w:val="0"/>
          <w:i/>
          <w:color w:val="000000"/>
          <w:sz w:val="20"/>
        </w:rPr>
        <w:t>Tabla 3. Resultados del experimento contra los criterios de éxito definidos antes de correrlo.</w:t>
      </w:r>
    </w:p>
    <w:p>
      <w:pPr>
        <w:spacing w:line="360" w:lineRule="auto" w:after="160"/>
        <w:jc w:val="both"/>
      </w:pPr>
      <w:r>
        <w:rPr>
          <w:rFonts w:ascii="Arial" w:hAnsi="Arial" w:eastAsia="Arial"/>
          <w:b w:val="0"/>
          <w:i w:val="0"/>
          <w:color w:val="000000"/>
          <w:sz w:val="24"/>
        </w:rPr>
        <w:t>Dos de los tres criterios numéricos se superaron con holgura y uno no se alcanzó. La conversión de visitante a lead, que es la métrica que el módulo pone en el centro, cuadruplicó el umbral que nos habíamos fijado y superó veinte veces el benchmark de referencia del ejemplo del módulo, que es del orden del 3% para tráfico frío. El volumen de leads cuadruplicó el mínimo. La tasa de clic sobre el alcance, en cambio, quedó en la mitad del criterio.</w:t>
      </w:r>
    </w:p>
    <w:p>
      <w:pPr>
        <w:spacing w:line="360" w:lineRule="auto" w:after="160"/>
        <w:jc w:val="both"/>
      </w:pPr>
      <w:r>
        <w:rPr>
          <w:rFonts w:ascii="Arial" w:hAnsi="Arial" w:eastAsia="Arial"/>
          <w:b w:val="0"/>
          <w:i w:val="0"/>
          <w:color w:val="000000"/>
          <w:sz w:val="24"/>
        </w:rPr>
        <w:t>Ese resultado se reporta como quedó y no se reformula, pero admite una lectura precisa sobre el denominador. Una reproducción de un video corto no es equivalente a una apertura de correo ni a una impresión paga: se contabiliza a los pocos segundos de visualización y no implica atención sostenida ni intención. El camino hasta el clic, además, es largo en estas plataformas, porque obliga a salir del video, entrar al perfil y tocar el enlace de la biografía. Que el 2,5% de las reproducciones haya recorrido ese camino es, medido contra el esfuerzo que implica, un resultado razonable. Lo que el número enseña, entonces, es menos sobre el producto que sobre el criterio: el umbral del 5% se calibró contra la unidad equivocada.</w:t>
      </w:r>
    </w:p>
    <w:p>
      <w:pPr>
        <w:keepNext/>
        <w:spacing w:line="360" w:lineRule="auto" w:before="160" w:after="40"/>
      </w:pPr>
      <w:r>
        <w:rPr>
          <w:rFonts w:ascii="Arial" w:hAnsi="Arial" w:eastAsia="Arial"/>
          <w:b/>
          <w:i w:val="0"/>
          <w:color w:val="000000"/>
          <w:sz w:val="24"/>
        </w:rPr>
        <w:t>5.4 Card de aprendizaje</w:t>
      </w:r>
    </w:p>
    <w:tbl>
      <w:tblPr>
        <w:tblStyle w:val="TableGrid"/>
        <w:tblW w:type="auto" w:w="0"/>
        <w:jc w:val="center"/>
        <w:tblLayout w:type="fixed"/>
        <w:tblLook w:firstColumn="1" w:firstRow="1" w:lastColumn="0" w:lastRow="0" w:noHBand="0" w:noVBand="1" w:val="04A0"/>
        <w:tblLayout w:type="fixed"/>
      </w:tblPr>
      <w:tblGrid>
        <w:gridCol w:w="4252"/>
        <w:gridCol w:w="4252"/>
      </w:tblGrid>
      <w:tr>
        <w:trPr>
          <w:tblHeader w:val="true"/>
        </w:trPr>
        <w:tc>
          <w:tcPr>
            <w:tcW w:type="dxa" w:w="2268"/>
          </w:tcPr>
          <w:p>
            <w:pPr>
              <w:spacing w:line="240" w:lineRule="auto" w:after="40" w:before="40"/>
            </w:pPr>
            <w:r>
              <w:rPr>
                <w:rFonts w:ascii="Arial" w:hAnsi="Arial" w:eastAsia="Arial"/>
                <w:b/>
                <w:i w:val="0"/>
                <w:color w:val="000000"/>
                <w:sz w:val="18"/>
              </w:rPr>
              <w:t>Campo</w:t>
            </w:r>
          </w:p>
        </w:tc>
        <w:tc>
          <w:tcPr>
            <w:tcW w:type="dxa" w:w="6236"/>
          </w:tcPr>
          <w:p>
            <w:pPr>
              <w:spacing w:line="240" w:lineRule="auto" w:after="40" w:before="40"/>
            </w:pPr>
            <w:r>
              <w:rPr>
                <w:rFonts w:ascii="Arial" w:hAnsi="Arial" w:eastAsia="Arial"/>
                <w:b/>
                <w:i w:val="0"/>
                <w:color w:val="000000"/>
                <w:sz w:val="18"/>
              </w:rPr>
              <w:t>Contenido</w:t>
            </w:r>
          </w:p>
        </w:tc>
      </w:tr>
      <w:tr>
        <w:tc>
          <w:tcPr>
            <w:tcW w:type="dxa" w:w="2268"/>
          </w:tcPr>
          <w:p>
            <w:pPr>
              <w:spacing w:line="240" w:lineRule="auto" w:after="40" w:before="40"/>
            </w:pPr>
            <w:r>
              <w:rPr>
                <w:rFonts w:ascii="Arial" w:hAnsi="Arial" w:eastAsia="Arial"/>
                <w:b w:val="0"/>
                <w:i w:val="0"/>
                <w:color w:val="000000"/>
                <w:sz w:val="18"/>
              </w:rPr>
              <w:t>1. Tipo y nombre</w:t>
            </w:r>
          </w:p>
        </w:tc>
        <w:tc>
          <w:tcPr>
            <w:tcW w:type="dxa" w:w="6236"/>
          </w:tcPr>
          <w:p>
            <w:pPr>
              <w:spacing w:line="240" w:lineRule="auto" w:after="40" w:before="40"/>
            </w:pPr>
            <w:r>
              <w:rPr>
                <w:rFonts w:ascii="Arial" w:hAnsi="Arial" w:eastAsia="Arial"/>
                <w:b w:val="0"/>
                <w:i w:val="0"/>
                <w:color w:val="000000"/>
                <w:sz w:val="18"/>
              </w:rPr>
              <w:t>Video MVP + landing page con puerta de precio — “Tu 10K empieza acá”.</w:t>
            </w:r>
          </w:p>
        </w:tc>
      </w:tr>
      <w:tr>
        <w:tc>
          <w:tcPr>
            <w:tcW w:type="dxa" w:w="2268"/>
          </w:tcPr>
          <w:p>
            <w:pPr>
              <w:spacing w:line="240" w:lineRule="auto" w:after="40" w:before="40"/>
            </w:pPr>
            <w:r>
              <w:rPr>
                <w:rFonts w:ascii="Arial" w:hAnsi="Arial" w:eastAsia="Arial"/>
                <w:b w:val="0"/>
                <w:i w:val="0"/>
                <w:color w:val="000000"/>
                <w:sz w:val="18"/>
              </w:rPr>
              <w:t>2. Hipótesis — Creíamos que…</w:t>
            </w:r>
          </w:p>
        </w:tc>
        <w:tc>
          <w:tcPr>
            <w:tcW w:type="dxa" w:w="6236"/>
          </w:tcPr>
          <w:p>
            <w:pPr>
              <w:spacing w:line="240" w:lineRule="auto" w:after="40" w:before="40"/>
            </w:pPr>
            <w:r>
              <w:rPr>
                <w:rFonts w:ascii="Arial" w:hAnsi="Arial" w:eastAsia="Arial"/>
                <w:b w:val="0"/>
                <w:i w:val="0"/>
                <w:color w:val="000000"/>
                <w:sz w:val="18"/>
              </w:rPr>
              <w:t>Creíamos que el atleta amateur percibe más valor en un coach que decide por él que en una app que le muestra datos, y que ese interés alcanzaría para que dejara su dirección de correo aun después de leer que el producto cuesta US$10 por mes.</w:t>
            </w:r>
          </w:p>
        </w:tc>
      </w:tr>
      <w:tr>
        <w:tc>
          <w:tcPr>
            <w:tcW w:type="dxa" w:w="2268"/>
          </w:tcPr>
          <w:p>
            <w:pPr>
              <w:spacing w:line="240" w:lineRule="auto" w:after="40" w:before="40"/>
            </w:pPr>
            <w:r>
              <w:rPr>
                <w:rFonts w:ascii="Arial" w:hAnsi="Arial" w:eastAsia="Arial"/>
                <w:b w:val="0"/>
                <w:i w:val="0"/>
                <w:color w:val="000000"/>
                <w:sz w:val="18"/>
              </w:rPr>
              <w:t>3. Observación — Evidencia observada</w:t>
            </w:r>
          </w:p>
        </w:tc>
        <w:tc>
          <w:tcPr>
            <w:tcW w:type="dxa" w:w="6236"/>
          </w:tcPr>
          <w:p>
            <w:pPr>
              <w:spacing w:line="240" w:lineRule="auto" w:after="40" w:before="40"/>
            </w:pPr>
            <w:r>
              <w:rPr>
                <w:rFonts w:ascii="Arial" w:hAnsi="Arial" w:eastAsia="Arial"/>
                <w:b w:val="0"/>
                <w:i w:val="0"/>
                <w:color w:val="000000"/>
                <w:sz w:val="18"/>
              </w:rPr>
              <w:t>7.266 reproducciones en 48 horas · 136 me gusta, 39 comentarios, 46 compartidos, 11 reposteos · 179 visitantes únicos a la landing (2,5% del alcance) · 132 llegaron al precio (73,7%) · 129 al formulario (72,1%) · 111 altas (62,0% del total; 84,1% de los que leyeron el precio) · 76 seguidores nuevos en una cuenta creada desde cero · un contacto comercial inbound de una marca de suplementación.</w:t>
            </w:r>
          </w:p>
        </w:tc>
      </w:tr>
      <w:tr>
        <w:tc>
          <w:tcPr>
            <w:tcW w:type="dxa" w:w="2268"/>
          </w:tcPr>
          <w:p>
            <w:pPr>
              <w:spacing w:line="240" w:lineRule="auto" w:after="40" w:before="40"/>
            </w:pPr>
            <w:r>
              <w:rPr>
                <w:rFonts w:ascii="Arial" w:hAnsi="Arial" w:eastAsia="Arial"/>
                <w:b w:val="0"/>
                <w:i w:val="0"/>
                <w:color w:val="000000"/>
                <w:sz w:val="18"/>
              </w:rPr>
              <w:t>4. Aprendizajes / Insights</w:t>
            </w:r>
          </w:p>
        </w:tc>
        <w:tc>
          <w:tcPr>
            <w:tcW w:type="dxa" w:w="6236"/>
          </w:tcPr>
          <w:p>
            <w:pPr>
              <w:spacing w:line="240" w:lineRule="auto" w:after="40" w:before="40"/>
            </w:pPr>
            <w:r>
              <w:rPr>
                <w:rFonts w:ascii="Arial" w:hAnsi="Arial" w:eastAsia="Arial"/>
                <w:b w:val="0"/>
                <w:i w:val="0"/>
                <w:color w:val="000000"/>
                <w:sz w:val="18"/>
              </w:rPr>
              <w:t>La propuesta convierte con una fuerza inusual cuando se la entiende, y el precio de US$10 no funciona como filtro: entre el bloque de precio y el formulario se pierde apenas el 2,3%. La restricción del negocio, en esta etapa, no es el valor sino la distribución: la única caída relevante del embudo está antes del precio, y el volumen total depende del alcance. El criterio de clic sobre alcance estaba calibrado contra la unidad equivocada, porque una reproducción de video corto no equivale a una apertura de correo.</w:t>
            </w:r>
          </w:p>
        </w:tc>
      </w:tr>
      <w:tr>
        <w:tc>
          <w:tcPr>
            <w:tcW w:type="dxa" w:w="2268"/>
          </w:tcPr>
          <w:p>
            <w:pPr>
              <w:spacing w:line="240" w:lineRule="auto" w:after="40" w:before="40"/>
            </w:pPr>
            <w:r>
              <w:rPr>
                <w:rFonts w:ascii="Arial" w:hAnsi="Arial" w:eastAsia="Arial"/>
                <w:b w:val="0"/>
                <w:i w:val="0"/>
                <w:color w:val="000000"/>
                <w:sz w:val="18"/>
              </w:rPr>
              <w:t>5. Decisiones / Acciones — Qué haremos</w:t>
            </w:r>
          </w:p>
        </w:tc>
        <w:tc>
          <w:tcPr>
            <w:tcW w:type="dxa" w:w="6236"/>
          </w:tcPr>
          <w:p>
            <w:pPr>
              <w:spacing w:line="240" w:lineRule="auto" w:after="40" w:before="40"/>
            </w:pPr>
            <w:r>
              <w:rPr>
                <w:rFonts w:ascii="Arial" w:hAnsi="Arial" w:eastAsia="Arial"/>
                <w:b w:val="0"/>
                <w:i w:val="0"/>
                <w:color w:val="000000"/>
                <w:sz w:val="18"/>
              </w:rPr>
              <w:t>Sostener la propuesta de valor y el precio tal como están: ninguno de los dos quedó refutado. Trabajar el tope del embudo, que es donde está el límite, con una cadencia regular de publicaciones sobre la cuenta de marca. Y convertir los 111 inscriptos en una cohorte de uso real, que es la única forma de medir permanencia y confianza sostenida.</w:t>
            </w:r>
          </w:p>
        </w:tc>
      </w:tr>
    </w:tbl>
    <w:p>
      <w:pPr>
        <w:spacing w:after="0"/>
      </w:pPr>
    </w:p>
    <w:p>
      <w:pPr>
        <w:spacing w:line="240" w:lineRule="auto" w:before="40" w:after="240"/>
        <w:jc w:val="center"/>
      </w:pPr>
      <w:r>
        <w:rPr>
          <w:rFonts w:ascii="Arial" w:hAnsi="Arial" w:eastAsia="Arial"/>
          <w:b w:val="0"/>
          <w:i/>
          <w:color w:val="000000"/>
          <w:sz w:val="20"/>
        </w:rPr>
        <w:t>Tabla 4. Card de aprendizaje, completada al cierre del experimento.</w:t>
      </w:r>
    </w:p>
    <w:p>
      <w:pPr>
        <w:keepNext/>
        <w:spacing w:line="300" w:lineRule="auto" w:after="120"/>
      </w:pPr>
      <w:r>
        <w:br w:type="page"/>
      </w:r>
      <w:r>
        <w:rPr>
          <w:rFonts w:ascii="Arial" w:hAnsi="Arial" w:eastAsia="Arial"/>
          <w:b/>
          <w:i w:val="0"/>
          <w:color w:val="000000"/>
          <w:sz w:val="32"/>
        </w:rPr>
        <w:t>6. Principales puntos de validación</w:t>
      </w:r>
    </w:p>
    <w:p>
      <w:pPr>
        <w:spacing w:line="360" w:lineRule="auto" w:after="160"/>
        <w:jc w:val="both"/>
      </w:pPr>
      <w:r>
        <w:rPr>
          <w:rFonts w:ascii="Arial" w:hAnsi="Arial" w:eastAsia="Arial"/>
          <w:b w:val="0"/>
          <w:i w:val="0"/>
          <w:color w:val="000000"/>
          <w:sz w:val="24"/>
        </w:rPr>
        <w:t>El checklist del módulo pide responder cuatro puntos concretos. Se responden uno por uno, con el número y con su n al lado, y se indica en cada caso con qué fuerza queda respaldado.</w:t>
      </w:r>
    </w:p>
    <w:p>
      <w:pPr>
        <w:spacing w:line="360" w:lineRule="auto" w:after="160"/>
        <w:jc w:val="both"/>
      </w:pPr>
      <w:r>
        <w:rPr>
          <w:rFonts w:ascii="Arial" w:hAnsi="Arial" w:eastAsia="Arial"/>
          <w:b/>
          <w:i w:val="0"/>
          <w:color w:val="000000"/>
          <w:sz w:val="24"/>
        </w:rPr>
        <w:t>Porcentaje de aceptación.</w:t>
      </w:r>
      <w:r>
        <w:rPr>
          <w:rFonts w:ascii="Arial" w:hAnsi="Arial" w:eastAsia="Arial"/>
          <w:b w:val="0"/>
          <w:i w:val="0"/>
          <w:color w:val="000000"/>
          <w:sz w:val="24"/>
        </w:rPr>
        <w:t xml:space="preserve"> El 62,0% de los visitantes de la landing (111 sobre 179) dejó su dirección de correo. Medido sobre quienes efectivamente leyeron el precio, la aceptación sube al 84,1% (111 sobre 132). Es evidencia fuerte en términos de tasa y limitada en términos de volumen: 179 visitantes son suficientes para que el ratio signifique algo, y son pocos para proyectar un mercado. La referencia declarada del módulo, para dimensionar la cifra, es una conversión del orden del 3% en una landing con tráfico frío.</w:t>
      </w:r>
    </w:p>
    <w:p>
      <w:pPr>
        <w:spacing w:line="360" w:lineRule="auto" w:after="160"/>
        <w:jc w:val="both"/>
      </w:pPr>
      <w:r>
        <w:rPr>
          <w:rFonts w:ascii="Arial" w:hAnsi="Arial" w:eastAsia="Arial"/>
          <w:b/>
          <w:i w:val="0"/>
          <w:color w:val="000000"/>
          <w:sz w:val="24"/>
        </w:rPr>
        <w:t>Disposición a pagar.</w:t>
      </w:r>
      <w:r>
        <w:rPr>
          <w:rFonts w:ascii="Arial" w:hAnsi="Arial" w:eastAsia="Arial"/>
          <w:b w:val="0"/>
          <w:i w:val="0"/>
          <w:color w:val="000000"/>
          <w:sz w:val="24"/>
        </w:rPr>
        <w:t xml:space="preserve"> Las 111 personas que se anotaron lo hicieron después de leer que Scala cuesta US$10 por mes, porque el bloque de precio está antes del formulario y no hay forma de llegar al segundo sin pasar por el primero. Esa es la señal central del experimento y confirma, con comportamiento y no con declaración, el 72% del segmento que en la encuesta del Módulo 3 dijo que pagaría o tal vez pagaría ese monto. Corresponde declarar el límite de la señal: la página ofrece seis meses sin costo a los primeros inscriptos, de modo que lo que se midió es aceptación del precio y no acto de pago. Un mail no es plata, y así se reporta.</w:t>
      </w:r>
    </w:p>
    <w:p>
      <w:pPr>
        <w:spacing w:line="360" w:lineRule="auto" w:after="160"/>
        <w:jc w:val="both"/>
      </w:pPr>
      <w:r>
        <w:rPr>
          <w:rFonts w:ascii="Arial" w:hAnsi="Arial" w:eastAsia="Arial"/>
          <w:b/>
          <w:i w:val="0"/>
          <w:color w:val="000000"/>
          <w:sz w:val="24"/>
        </w:rPr>
        <w:t>Frecuencia de compra.</w:t>
      </w:r>
      <w:r>
        <w:rPr>
          <w:rFonts w:ascii="Arial" w:hAnsi="Arial" w:eastAsia="Arial"/>
          <w:b w:val="0"/>
          <w:i w:val="0"/>
          <w:color w:val="000000"/>
          <w:sz w:val="24"/>
        </w:rPr>
        <w:t xml:space="preserve"> En un modelo de suscripción la frecuencia de compra es la renovación mensual y no una decisión repetida de compra, de modo que el punto se reformula como frecuencia de uso y permanencia. Lo que el experimento sí muestra en esa dirección es la intensidad de la interacción con la pieza —46 compartidos y 39 comentarios sobre 136 me gusta— y la conversión de la audiencia en seguidores de una cuenta que no existía. La medición propiamente dicha corresponde a una cohorte de uso sobre los 111 inscriptos, que es el paso inmediato siguiente.</w:t>
      </w:r>
    </w:p>
    <w:p>
      <w:pPr>
        <w:spacing w:line="360" w:lineRule="auto" w:after="160"/>
        <w:jc w:val="both"/>
      </w:pPr>
      <w:r>
        <w:rPr>
          <w:rFonts w:ascii="Arial" w:hAnsi="Arial" w:eastAsia="Arial"/>
          <w:b/>
          <w:i w:val="0"/>
          <w:color w:val="000000"/>
          <w:sz w:val="24"/>
        </w:rPr>
        <w:t>Cantidades compradas.</w:t>
      </w:r>
      <w:r>
        <w:rPr>
          <w:rFonts w:ascii="Arial" w:hAnsi="Arial" w:eastAsia="Arial"/>
          <w:b w:val="0"/>
          <w:i w:val="0"/>
          <w:color w:val="000000"/>
          <w:sz w:val="24"/>
        </w:rPr>
        <w:t xml:space="preserve"> También se reformula: en una suscripción la cantidad es una unidad por período y por usuario, con un plan único y sin variantes de volumen. La cantidad relevante en esta etapa es la del activo generado, que son 111 inscriptos en la lista de espera y 76 seguidores en la cuenta de marca, ambos obtenidos en cuarenta y ocho horas y con presupuesto cero.</w:t>
      </w:r>
    </w:p>
    <w:p>
      <w:pPr>
        <w:spacing w:line="360" w:lineRule="auto" w:after="160"/>
        <w:jc w:val="both"/>
      </w:pPr>
      <w:r>
        <w:rPr>
          <w:rFonts w:ascii="Arial" w:hAnsi="Arial" w:eastAsia="Arial"/>
          <w:b w:val="0"/>
          <w:i w:val="0"/>
          <w:color w:val="000000"/>
          <w:sz w:val="24"/>
        </w:rPr>
        <w:t>El checklist agrega un quinto punto sobre validación específica para proyectos de impacto social o ambiental. Scala no es un proyecto de esa naturaleza, de modo que el punto no aplica y se deja constancia.</w:t>
      </w:r>
    </w:p>
    <w:p>
      <w:pPr>
        <w:keepNext/>
        <w:spacing w:line="300" w:lineRule="auto" w:after="120"/>
      </w:pPr>
      <w:r>
        <w:br w:type="page"/>
      </w:r>
      <w:r>
        <w:rPr>
          <w:rFonts w:ascii="Arial" w:hAnsi="Arial" w:eastAsia="Arial"/>
          <w:b/>
          <w:i w:val="0"/>
          <w:color w:val="000000"/>
          <w:sz w:val="32"/>
        </w:rPr>
        <w:t>7. Aprendizajes e iteración de la propuesta de valor</w:t>
      </w:r>
    </w:p>
    <w:p>
      <w:pPr>
        <w:spacing w:line="360" w:lineRule="auto" w:after="160"/>
        <w:jc w:val="both"/>
      </w:pPr>
      <w:r>
        <w:rPr>
          <w:rFonts w:ascii="Arial" w:hAnsi="Arial" w:eastAsia="Arial"/>
          <w:b w:val="0"/>
          <w:i w:val="0"/>
          <w:color w:val="000000"/>
          <w:sz w:val="24"/>
        </w:rPr>
        <w:t>El primer aprendizaje es el que ordena a los demás: la propuesta de valor no fue refutada en ningún punto y el precio tampoco. Cuando alguien llega a la landing y la lee, la elige en una proporción muy alta, y leer cuánto sale prácticamente no lo hace abandonar. Esto tiene una consecuencia estratégica concreta: el mapa de valor del Módulo 4 no necesita reescribirse, y el esfuerzo del proyecto no debería ir, en el corto plazo, a agregar funcionalidades ni a cambiar el encuadre del producto.</w:t>
      </w:r>
    </w:p>
    <w:p>
      <w:pPr>
        <w:spacing w:line="360" w:lineRule="auto" w:after="160"/>
        <w:jc w:val="both"/>
      </w:pPr>
      <w:r>
        <w:rPr>
          <w:rFonts w:ascii="Arial" w:hAnsi="Arial" w:eastAsia="Arial"/>
          <w:b w:val="0"/>
          <w:i w:val="0"/>
          <w:color w:val="000000"/>
          <w:sz w:val="24"/>
        </w:rPr>
        <w:t>El segundo es dónde está el límite. La única caída significativa del embudo ocurre antes del precio, y el volumen total depende enteramente del alcance de una publicación. Dicho de otro modo, el cuello de botella del negocio hoy es la distribución y no el valor. Eso reordena la prioridad de trabajo hacia el tope del embudo: cadencia de publicación sobre la cuenta de marca, que arrancó de cero y ya demostró que capta seguidores, y la búsqueda de alcance que no dependa de la red personal de los fundadores. El contacto inbound de una marca de suplementación es, en esa línea, una pista sobre por dónde puede venir ese alcance.</w:t>
      </w:r>
    </w:p>
    <w:p>
      <w:pPr>
        <w:spacing w:line="360" w:lineRule="auto" w:after="160"/>
        <w:jc w:val="both"/>
      </w:pPr>
      <w:r>
        <w:rPr>
          <w:rFonts w:ascii="Arial" w:hAnsi="Arial" w:eastAsia="Arial"/>
          <w:b w:val="0"/>
          <w:i w:val="0"/>
          <w:color w:val="000000"/>
          <w:sz w:val="24"/>
        </w:rPr>
        <w:t>El tercero es un aprendizaje sobre el método. Fijar un umbral de clic del 5% tomando como referencia el CTR de una campaña de correo fue un error de calibración: la unidad de un embudo de video corto no es comparable con la de un embudo de mailing, ni en el costo de atención que implica cada impacto ni en la distancia entre el impacto y el clic. El criterio se mantiene reportado como se fijó, pero el próximo experimento debe fijar su umbral contra la unidad que efectivamente va a medir.</w:t>
      </w:r>
    </w:p>
    <w:p>
      <w:pPr>
        <w:spacing w:line="360" w:lineRule="auto" w:after="160"/>
        <w:jc w:val="both"/>
      </w:pPr>
      <w:r>
        <w:rPr>
          <w:rFonts w:ascii="Arial" w:hAnsi="Arial" w:eastAsia="Arial"/>
          <w:b w:val="0"/>
          <w:i w:val="0"/>
          <w:color w:val="000000"/>
          <w:sz w:val="24"/>
        </w:rPr>
        <w:t>El cuarto es la pregunta que el experimento deja abierta y que conviene declarar sin adorno. El encuadre de la landing habla, sobre todo, el idioma del frente con wearable: el gancho inicial muestra variabilidad de la frecuencia cardíaca, sueño y un índice de readiness, y la grilla de datos ocupa un bloque entero. El frente sin wearable, que el Módulo 3 dimensionó en cerca del 65% del segmento y que es el mercado menos disputado, no fue interpelado en su propio lenguaje. La conversión del 62% se obtuvo, entonces, con la configuración de la propuesta que le habla al tercio del mercado que ya tiene dispositivo, lo que hace del resultado un piso y no un techo, y deja planteado el ajuste más concreto que el experimento sugiere: una versión espejada de la landing que hable el idioma de Flor, con el mismo producto detrás y el mismo llamado a la acción, para poder comparar.</w:t>
      </w:r>
    </w:p>
    <w:p>
      <w:pPr>
        <w:spacing w:line="360" w:lineRule="auto" w:after="160"/>
        <w:jc w:val="both"/>
      </w:pPr>
      <w:r>
        <w:rPr>
          <w:rFonts w:ascii="Arial" w:hAnsi="Arial" w:eastAsia="Arial"/>
          <w:b w:val="0"/>
          <w:i w:val="0"/>
          <w:color w:val="000000"/>
          <w:sz w:val="24"/>
        </w:rPr>
        <w:t>El quinto es sobre la confianza, que el Módulo 4 identificó como el riesgo más serio de la propuesta, con tres objeciones relevadas en el campo: fatiga de inteligencia artificial, sesgo de complacencia de los modelos y falta de aval profesional. El experimento produjo señales tempranas y favorables en esa dirección —una publicación que se comparte 46 veces y se comenta 39, una cuenta que gana 76 seguidores desde cero, un contacto comercial espontáneo— pero son señales de interés y no de confianza sostenida, que es una propiedad que se construye con el uso a lo largo de los días. Ahí está la pregunta del próximo paso.</w:t>
      </w:r>
    </w:p>
    <w:p>
      <w:pPr>
        <w:spacing w:line="360" w:lineRule="auto" w:after="160"/>
        <w:jc w:val="both"/>
      </w:pPr>
      <w:r>
        <w:rPr>
          <w:rFonts w:ascii="Arial" w:hAnsi="Arial" w:eastAsia="Arial"/>
          <w:b w:val="0"/>
          <w:i w:val="0"/>
          <w:color w:val="000000"/>
          <w:sz w:val="24"/>
        </w:rPr>
        <w:t>Ese próximo paso, si el proceso continuara, es el que se desprende naturalmente de lo anterior: abrir el producto a una cohorte acotada de los 111 inscriptos y medir durante una semana cuántos vuelven, cuántas veces interactúan con el coach y cuántos siguen ahí al séptimo día, cerrando con entrevistas cortas que expliquen el porqué de esos números. Es el experimento que ataca la confianza y la permanencia, que son las dos preguntas que un embudo de landing no puede responder, y el que produciría la evidencia que le falta a este documento para hablar de product-market fit sin adjetivos.</w:t>
      </w:r>
    </w:p>
    <w:p>
      <w:pPr>
        <w:keepNext/>
        <w:spacing w:line="300" w:lineRule="auto" w:after="120"/>
      </w:pPr>
      <w:r>
        <w:br w:type="page"/>
      </w:r>
      <w:r>
        <w:rPr>
          <w:rFonts w:ascii="Arial" w:hAnsi="Arial" w:eastAsia="Arial"/>
          <w:b/>
          <w:i w:val="0"/>
          <w:color w:val="000000"/>
          <w:sz w:val="32"/>
        </w:rPr>
        <w:t>8. Conclusión: ¿hay product-market fit?</w:t>
      </w:r>
    </w:p>
    <w:p>
      <w:pPr>
        <w:spacing w:line="360" w:lineRule="auto" w:after="160"/>
        <w:jc w:val="both"/>
      </w:pPr>
      <w:r>
        <w:rPr>
          <w:rFonts w:ascii="Arial" w:hAnsi="Arial" w:eastAsia="Arial"/>
          <w:b w:val="0"/>
          <w:i w:val="0"/>
          <w:color w:val="000000"/>
          <w:sz w:val="24"/>
        </w:rPr>
        <w:t>La respuesta honesta es que hay evidencia sólida de problem-solution fit y señales tempranas de product-market fit, y que lo segundo todavía no está probado.</w:t>
      </w:r>
    </w:p>
    <w:p>
      <w:pPr>
        <w:spacing w:line="360" w:lineRule="auto" w:after="160"/>
        <w:jc w:val="both"/>
      </w:pPr>
      <w:r>
        <w:rPr>
          <w:rFonts w:ascii="Arial" w:hAnsi="Arial" w:eastAsia="Arial"/>
          <w:b w:val="0"/>
          <w:i w:val="0"/>
          <w:color w:val="000000"/>
          <w:sz w:val="24"/>
        </w:rPr>
        <w:t>Lo que sí quedó demostrado es sustancial y conviene enunciarlo sin falsa modestia. La propuesta de valor diseñada en el Módulo 4 se entiende cuando se la comunica: 179 personas entraron a leerla y 111 dejaron su dirección de correo, una conversión del 62,0% que multiplica por veinte el benchmark de referencia del módulo. El precio no es la barrera que temíamos: expuesto antes de pedir nada, hizo abandonar al 2,3% de quienes lo leyeron. Y la hipótesis central del proyecto —que el valor está en accionar y no en mostrar— resistió su primera prueba de mercado con un costo de cero pesos y en cuarenta y ocho horas.</w:t>
      </w:r>
    </w:p>
    <w:p>
      <w:pPr>
        <w:spacing w:line="360" w:lineRule="auto" w:after="160"/>
        <w:jc w:val="both"/>
      </w:pPr>
      <w:r>
        <w:rPr>
          <w:rFonts w:ascii="Arial" w:hAnsi="Arial" w:eastAsia="Arial"/>
          <w:b w:val="0"/>
          <w:i w:val="0"/>
          <w:color w:val="000000"/>
          <w:sz w:val="24"/>
        </w:rPr>
        <w:t>Lo que falta para afirmar product-market fit también es claro, y es de cuatro tipos. Falta volumen: 179 visitantes y 111 leads alcanzan para leer una tasa, no para dimensionar un mercado. Falta tráfico frío: la difusión se apoyó en la red personal de uno de los fundadores, y una audiencia que no debe nada al proyecto convierte distinto. Falta retención: nadie usó todavía el producto de manera sostenida, y el fit se confirma cuando los usuarios vuelven, no cuando se anotan. Y falta cobro real: aceptar un precio en una página no es lo mismo que pagarlo, y esa distancia sólo se cierra cobrando.</w:t>
      </w:r>
    </w:p>
    <w:p>
      <w:pPr>
        <w:spacing w:line="360" w:lineRule="auto" w:after="160"/>
        <w:jc w:val="both"/>
      </w:pPr>
      <w:r>
        <w:rPr>
          <w:rFonts w:ascii="Arial" w:hAnsi="Arial" w:eastAsia="Arial"/>
          <w:b w:val="0"/>
          <w:i w:val="0"/>
          <w:color w:val="000000"/>
          <w:sz w:val="24"/>
        </w:rPr>
        <w:t>De esas cuatro deudas, la primera y la segunda son cuestión de escala y de tiempo; la tercera se resuelve con la cohorte de uso que la Sección 7 propone como próximo paso; y la cuarta es, precisamente, la materia del Módulo 6, que toma el modelo de negocios sobre la base que este experimento dejó: una propuesta que convierte, un precio que no expulsa y una lista de 111 personas esperando probarla.</w:t>
      </w:r>
    </w:p>
    <w:p>
      <w:pPr>
        <w:keepNext/>
        <w:spacing w:line="300" w:lineRule="auto" w:after="120"/>
      </w:pPr>
      <w:r>
        <w:br w:type="page"/>
      </w:r>
      <w:r>
        <w:rPr>
          <w:rFonts w:ascii="Arial" w:hAnsi="Arial" w:eastAsia="Arial"/>
          <w:b/>
          <w:i w:val="0"/>
          <w:color w:val="000000"/>
          <w:sz w:val="32"/>
        </w:rPr>
        <w:t>Anexo A · Evidencia y enlaces</w:t>
      </w:r>
    </w:p>
    <w:p>
      <w:pPr>
        <w:spacing w:line="360" w:lineRule="auto" w:after="160"/>
        <w:jc w:val="both"/>
      </w:pPr>
      <w:r>
        <w:rPr>
          <w:rFonts w:ascii="Arial" w:hAnsi="Arial" w:eastAsia="Arial"/>
          <w:b w:val="0"/>
          <w:i w:val="0"/>
          <w:color w:val="000000"/>
          <w:sz w:val="24"/>
        </w:rPr>
        <w:t>La evidencia de este experimento es pública y consultable en vivo, de modo que se deja aquí el acceso directo antes que una reproducción estática:</w:t>
      </w:r>
    </w:p>
    <w:p>
      <w:pPr>
        <w:spacing w:line="360" w:lineRule="auto" w:after="80"/>
        <w:ind w:left="340"/>
        <w:jc w:val="both"/>
      </w:pPr>
      <w:r>
        <w:rPr>
          <w:rFonts w:ascii="Arial" w:hAnsi="Arial" w:eastAsia="Arial"/>
          <w:b w:val="0"/>
          <w:i w:val="0"/>
          <w:color w:val="000000"/>
          <w:sz w:val="24"/>
        </w:rPr>
        <w:t>Cuenta de marca en Instagram: https://www.instagram.com/scala.fit</w:t>
      </w:r>
    </w:p>
    <w:p>
      <w:pPr>
        <w:spacing w:line="360" w:lineRule="auto" w:after="80"/>
        <w:ind w:left="340"/>
        <w:jc w:val="both"/>
      </w:pPr>
      <w:r>
        <w:rPr>
          <w:rFonts w:ascii="Arial" w:hAnsi="Arial" w:eastAsia="Arial"/>
          <w:b w:val="0"/>
          <w:i w:val="0"/>
          <w:color w:val="000000"/>
          <w:sz w:val="24"/>
        </w:rPr>
        <w:t>Video de lanzamiento: https://www.instagram.com/reel/DcriN21Jd4B/</w:t>
      </w:r>
    </w:p>
    <w:p>
      <w:pPr>
        <w:spacing w:line="360" w:lineRule="auto" w:after="160"/>
        <w:ind w:left="340"/>
        <w:jc w:val="both"/>
      </w:pPr>
      <w:r>
        <w:rPr>
          <w:rFonts w:ascii="Arial" w:hAnsi="Arial" w:eastAsia="Arial"/>
          <w:b w:val="0"/>
          <w:i w:val="0"/>
          <w:color w:val="000000"/>
          <w:sz w:val="24"/>
        </w:rPr>
        <w:t>Landing del experimento: https://scala.fit</w:t>
      </w:r>
    </w:p>
    <w:p>
      <w:pPr>
        <w:spacing w:line="360" w:lineRule="auto" w:after="160"/>
        <w:jc w:val="both"/>
      </w:pPr>
      <w:r>
        <w:rPr>
          <w:rFonts w:ascii="Arial" w:hAnsi="Arial" w:eastAsia="Arial"/>
          <w:b w:val="0"/>
          <w:i w:val="0"/>
          <w:color w:val="000000"/>
          <w:sz w:val="24"/>
        </w:rPr>
        <w:t>La cuenta se sigue actualizando después del cierre de esta medición, con lo cual los números públicos que se vean al momento de la lectura pueden ser superiores a los que este documento reporta; las cifras del cuerpo corresponden a la ventana de cuarenta y ocho horas posterior a la publicación, que es el período sobre el que se fijaron los criterios.</w:t>
      </w:r>
    </w:p>
    <w:p>
      <w:pPr>
        <w:spacing w:line="360" w:lineRule="auto" w:after="160"/>
        <w:jc w:val="both"/>
      </w:pPr>
      <w:r>
        <w:rPr>
          <w:rFonts w:ascii="Arial" w:hAnsi="Arial" w:eastAsia="Arial"/>
          <w:b w:val="0"/>
          <w:i w:val="0"/>
          <w:color w:val="000000"/>
          <w:sz w:val="24"/>
        </w:rPr>
        <w:t>El detalle completo del embudo, sobre visitantes únicos, es el siguiente:</w:t>
      </w:r>
    </w:p>
    <w:tbl>
      <w:tblPr>
        <w:tblStyle w:val="TableGrid"/>
        <w:tblW w:type="auto" w:w="0"/>
        <w:jc w:val="center"/>
        <w:tblLayout w:type="fixed"/>
        <w:tblLook w:firstColumn="1" w:firstRow="1" w:lastColumn="0" w:lastRow="0" w:noHBand="0" w:noVBand="1" w:val="04A0"/>
        <w:tblLayout w:type="fixed"/>
      </w:tblPr>
      <w:tblGrid>
        <w:gridCol w:w="2126"/>
        <w:gridCol w:w="2126"/>
        <w:gridCol w:w="2126"/>
        <w:gridCol w:w="2126"/>
      </w:tblGrid>
      <w:tr>
        <w:trPr>
          <w:tblHeader w:val="true"/>
        </w:trPr>
        <w:tc>
          <w:tcPr>
            <w:tcW w:type="dxa" w:w="3061"/>
          </w:tcPr>
          <w:p>
            <w:pPr>
              <w:spacing w:line="240" w:lineRule="auto" w:after="40" w:before="40"/>
            </w:pPr>
            <w:r>
              <w:rPr>
                <w:rFonts w:ascii="Arial" w:hAnsi="Arial" w:eastAsia="Arial"/>
                <w:b/>
                <w:i w:val="0"/>
                <w:color w:val="000000"/>
                <w:sz w:val="18"/>
              </w:rPr>
              <w:t>Paso del embudo</w:t>
            </w:r>
          </w:p>
        </w:tc>
        <w:tc>
          <w:tcPr>
            <w:tcW w:type="dxa" w:w="1814"/>
          </w:tcPr>
          <w:p>
            <w:pPr>
              <w:spacing w:line="240" w:lineRule="auto" w:after="40" w:before="40"/>
            </w:pPr>
            <w:r>
              <w:rPr>
                <w:rFonts w:ascii="Arial" w:hAnsi="Arial" w:eastAsia="Arial"/>
                <w:b/>
                <w:i w:val="0"/>
                <w:color w:val="000000"/>
                <w:sz w:val="18"/>
              </w:rPr>
              <w:t>Visitantes únicos</w:t>
            </w:r>
          </w:p>
        </w:tc>
        <w:tc>
          <w:tcPr>
            <w:tcW w:type="dxa" w:w="1814"/>
          </w:tcPr>
          <w:p>
            <w:pPr>
              <w:spacing w:line="240" w:lineRule="auto" w:after="40" w:before="40"/>
            </w:pPr>
            <w:r>
              <w:rPr>
                <w:rFonts w:ascii="Arial" w:hAnsi="Arial" w:eastAsia="Arial"/>
                <w:b/>
                <w:i w:val="0"/>
                <w:color w:val="000000"/>
                <w:sz w:val="18"/>
              </w:rPr>
              <w:t>% de los que entraron</w:t>
            </w:r>
          </w:p>
        </w:tc>
        <w:tc>
          <w:tcPr>
            <w:tcW w:type="dxa" w:w="1814"/>
          </w:tcPr>
          <w:p>
            <w:pPr>
              <w:spacing w:line="240" w:lineRule="auto" w:after="40" w:before="40"/>
            </w:pPr>
            <w:r>
              <w:rPr>
                <w:rFonts w:ascii="Arial" w:hAnsi="Arial" w:eastAsia="Arial"/>
                <w:b/>
                <w:i w:val="0"/>
                <w:color w:val="000000"/>
                <w:sz w:val="18"/>
              </w:rPr>
              <w:t>% del paso anterior</w:t>
            </w:r>
          </w:p>
        </w:tc>
      </w:tr>
      <w:tr>
        <w:tc>
          <w:tcPr>
            <w:tcW w:type="dxa" w:w="3061"/>
          </w:tcPr>
          <w:p>
            <w:pPr>
              <w:spacing w:line="240" w:lineRule="auto" w:after="40" w:before="40"/>
            </w:pPr>
            <w:r>
              <w:rPr>
                <w:rFonts w:ascii="Arial" w:hAnsi="Arial" w:eastAsia="Arial"/>
                <w:b w:val="0"/>
                <w:i w:val="0"/>
                <w:color w:val="000000"/>
                <w:sz w:val="18"/>
              </w:rPr>
              <w:t>Entraron a la landing</w:t>
            </w:r>
          </w:p>
        </w:tc>
        <w:tc>
          <w:tcPr>
            <w:tcW w:type="dxa" w:w="1814"/>
          </w:tcPr>
          <w:p>
            <w:pPr>
              <w:spacing w:line="240" w:lineRule="auto" w:after="40" w:before="40"/>
            </w:pPr>
            <w:r>
              <w:rPr>
                <w:rFonts w:ascii="Arial" w:hAnsi="Arial" w:eastAsia="Arial"/>
                <w:b w:val="0"/>
                <w:i w:val="0"/>
                <w:color w:val="000000"/>
                <w:sz w:val="18"/>
              </w:rPr>
              <w:t>179</w:t>
            </w:r>
          </w:p>
        </w:tc>
        <w:tc>
          <w:tcPr>
            <w:tcW w:type="dxa" w:w="1814"/>
          </w:tcPr>
          <w:p>
            <w:pPr>
              <w:spacing w:line="240" w:lineRule="auto" w:after="40" w:before="40"/>
            </w:pPr>
            <w:r>
              <w:rPr>
                <w:rFonts w:ascii="Arial" w:hAnsi="Arial" w:eastAsia="Arial"/>
                <w:b w:val="0"/>
                <w:i w:val="0"/>
                <w:color w:val="000000"/>
                <w:sz w:val="18"/>
              </w:rPr>
              <w:t>100%</w:t>
            </w:r>
          </w:p>
        </w:tc>
        <w:tc>
          <w:tcPr>
            <w:tcW w:type="dxa" w:w="1814"/>
          </w:tcPr>
          <w:p>
            <w:pPr>
              <w:spacing w:line="240" w:lineRule="auto" w:after="40" w:before="40"/>
            </w:pPr>
            <w:r>
              <w:rPr>
                <w:rFonts w:ascii="Arial" w:hAnsi="Arial" w:eastAsia="Arial"/>
                <w:b w:val="0"/>
                <w:i w:val="0"/>
                <w:color w:val="000000"/>
                <w:sz w:val="18"/>
              </w:rPr>
              <w:t>—</w:t>
            </w:r>
          </w:p>
        </w:tc>
      </w:tr>
      <w:tr>
        <w:tc>
          <w:tcPr>
            <w:tcW w:type="dxa" w:w="3061"/>
          </w:tcPr>
          <w:p>
            <w:pPr>
              <w:spacing w:line="240" w:lineRule="auto" w:after="40" w:before="40"/>
            </w:pPr>
            <w:r>
              <w:rPr>
                <w:rFonts w:ascii="Arial" w:hAnsi="Arial" w:eastAsia="Arial"/>
                <w:b w:val="0"/>
                <w:i w:val="0"/>
                <w:color w:val="000000"/>
                <w:sz w:val="18"/>
              </w:rPr>
              <w:t>Llegaron al precio</w:t>
            </w:r>
          </w:p>
        </w:tc>
        <w:tc>
          <w:tcPr>
            <w:tcW w:type="dxa" w:w="1814"/>
          </w:tcPr>
          <w:p>
            <w:pPr>
              <w:spacing w:line="240" w:lineRule="auto" w:after="40" w:before="40"/>
            </w:pPr>
            <w:r>
              <w:rPr>
                <w:rFonts w:ascii="Arial" w:hAnsi="Arial" w:eastAsia="Arial"/>
                <w:b w:val="0"/>
                <w:i w:val="0"/>
                <w:color w:val="000000"/>
                <w:sz w:val="18"/>
              </w:rPr>
              <w:t>132</w:t>
            </w:r>
          </w:p>
        </w:tc>
        <w:tc>
          <w:tcPr>
            <w:tcW w:type="dxa" w:w="1814"/>
          </w:tcPr>
          <w:p>
            <w:pPr>
              <w:spacing w:line="240" w:lineRule="auto" w:after="40" w:before="40"/>
            </w:pPr>
            <w:r>
              <w:rPr>
                <w:rFonts w:ascii="Arial" w:hAnsi="Arial" w:eastAsia="Arial"/>
                <w:b w:val="0"/>
                <w:i w:val="0"/>
                <w:color w:val="000000"/>
                <w:sz w:val="18"/>
              </w:rPr>
              <w:t>73,7%</w:t>
            </w:r>
          </w:p>
        </w:tc>
        <w:tc>
          <w:tcPr>
            <w:tcW w:type="dxa" w:w="1814"/>
          </w:tcPr>
          <w:p>
            <w:pPr>
              <w:spacing w:line="240" w:lineRule="auto" w:after="40" w:before="40"/>
            </w:pPr>
            <w:r>
              <w:rPr>
                <w:rFonts w:ascii="Arial" w:hAnsi="Arial" w:eastAsia="Arial"/>
                <w:b w:val="0"/>
                <w:i w:val="0"/>
                <w:color w:val="000000"/>
                <w:sz w:val="18"/>
              </w:rPr>
              <w:t>73,7%</w:t>
            </w:r>
          </w:p>
        </w:tc>
      </w:tr>
      <w:tr>
        <w:tc>
          <w:tcPr>
            <w:tcW w:type="dxa" w:w="3061"/>
          </w:tcPr>
          <w:p>
            <w:pPr>
              <w:spacing w:line="240" w:lineRule="auto" w:after="40" w:before="40"/>
            </w:pPr>
            <w:r>
              <w:rPr>
                <w:rFonts w:ascii="Arial" w:hAnsi="Arial" w:eastAsia="Arial"/>
                <w:b w:val="0"/>
                <w:i w:val="0"/>
                <w:color w:val="000000"/>
                <w:sz w:val="18"/>
              </w:rPr>
              <w:t>Llegaron al formulario</w:t>
            </w:r>
          </w:p>
        </w:tc>
        <w:tc>
          <w:tcPr>
            <w:tcW w:type="dxa" w:w="1814"/>
          </w:tcPr>
          <w:p>
            <w:pPr>
              <w:spacing w:line="240" w:lineRule="auto" w:after="40" w:before="40"/>
            </w:pPr>
            <w:r>
              <w:rPr>
                <w:rFonts w:ascii="Arial" w:hAnsi="Arial" w:eastAsia="Arial"/>
                <w:b w:val="0"/>
                <w:i w:val="0"/>
                <w:color w:val="000000"/>
                <w:sz w:val="18"/>
              </w:rPr>
              <w:t>129</w:t>
            </w:r>
          </w:p>
        </w:tc>
        <w:tc>
          <w:tcPr>
            <w:tcW w:type="dxa" w:w="1814"/>
          </w:tcPr>
          <w:p>
            <w:pPr>
              <w:spacing w:line="240" w:lineRule="auto" w:after="40" w:before="40"/>
            </w:pPr>
            <w:r>
              <w:rPr>
                <w:rFonts w:ascii="Arial" w:hAnsi="Arial" w:eastAsia="Arial"/>
                <w:b w:val="0"/>
                <w:i w:val="0"/>
                <w:color w:val="000000"/>
                <w:sz w:val="18"/>
              </w:rPr>
              <w:t>72,1%</w:t>
            </w:r>
          </w:p>
        </w:tc>
        <w:tc>
          <w:tcPr>
            <w:tcW w:type="dxa" w:w="1814"/>
          </w:tcPr>
          <w:p>
            <w:pPr>
              <w:spacing w:line="240" w:lineRule="auto" w:after="40" w:before="40"/>
            </w:pPr>
            <w:r>
              <w:rPr>
                <w:rFonts w:ascii="Arial" w:hAnsi="Arial" w:eastAsia="Arial"/>
                <w:b w:val="0"/>
                <w:i w:val="0"/>
                <w:color w:val="000000"/>
                <w:sz w:val="18"/>
              </w:rPr>
              <w:t>97,7%</w:t>
            </w:r>
          </w:p>
        </w:tc>
      </w:tr>
      <w:tr>
        <w:tc>
          <w:tcPr>
            <w:tcW w:type="dxa" w:w="3061"/>
          </w:tcPr>
          <w:p>
            <w:pPr>
              <w:spacing w:line="240" w:lineRule="auto" w:after="40" w:before="40"/>
            </w:pPr>
            <w:r>
              <w:rPr>
                <w:rFonts w:ascii="Arial" w:hAnsi="Arial" w:eastAsia="Arial"/>
                <w:b w:val="0"/>
                <w:i w:val="0"/>
                <w:color w:val="000000"/>
                <w:sz w:val="18"/>
              </w:rPr>
              <w:t>Dejaron el correo</w:t>
            </w:r>
          </w:p>
        </w:tc>
        <w:tc>
          <w:tcPr>
            <w:tcW w:type="dxa" w:w="1814"/>
          </w:tcPr>
          <w:p>
            <w:pPr>
              <w:spacing w:line="240" w:lineRule="auto" w:after="40" w:before="40"/>
            </w:pPr>
            <w:r>
              <w:rPr>
                <w:rFonts w:ascii="Arial" w:hAnsi="Arial" w:eastAsia="Arial"/>
                <w:b w:val="0"/>
                <w:i w:val="0"/>
                <w:color w:val="000000"/>
                <w:sz w:val="18"/>
              </w:rPr>
              <w:t>111</w:t>
            </w:r>
          </w:p>
        </w:tc>
        <w:tc>
          <w:tcPr>
            <w:tcW w:type="dxa" w:w="1814"/>
          </w:tcPr>
          <w:p>
            <w:pPr>
              <w:spacing w:line="240" w:lineRule="auto" w:after="40" w:before="40"/>
            </w:pPr>
            <w:r>
              <w:rPr>
                <w:rFonts w:ascii="Arial" w:hAnsi="Arial" w:eastAsia="Arial"/>
                <w:b w:val="0"/>
                <w:i w:val="0"/>
                <w:color w:val="000000"/>
                <w:sz w:val="18"/>
              </w:rPr>
              <w:t>62,0%</w:t>
            </w:r>
          </w:p>
        </w:tc>
        <w:tc>
          <w:tcPr>
            <w:tcW w:type="dxa" w:w="1814"/>
          </w:tcPr>
          <w:p>
            <w:pPr>
              <w:spacing w:line="240" w:lineRule="auto" w:after="40" w:before="40"/>
            </w:pPr>
            <w:r>
              <w:rPr>
                <w:rFonts w:ascii="Arial" w:hAnsi="Arial" w:eastAsia="Arial"/>
                <w:b w:val="0"/>
                <w:i w:val="0"/>
                <w:color w:val="000000"/>
                <w:sz w:val="18"/>
              </w:rPr>
              <w:t>86,0%</w:t>
            </w:r>
          </w:p>
        </w:tc>
      </w:tr>
    </w:tbl>
    <w:p>
      <w:pPr>
        <w:spacing w:after="0"/>
      </w:pPr>
    </w:p>
    <w:p>
      <w:pPr>
        <w:spacing w:line="240" w:lineRule="auto" w:before="40" w:after="240"/>
        <w:jc w:val="center"/>
      </w:pPr>
      <w:r>
        <w:rPr>
          <w:rFonts w:ascii="Arial" w:hAnsi="Arial" w:eastAsia="Arial"/>
          <w:b w:val="0"/>
          <w:i/>
          <w:color w:val="000000"/>
          <w:sz w:val="20"/>
        </w:rPr>
        <w:t>Tabla 5. Embudo de la landing sobre visitantes únicos, ventana de 48 horas.</w:t>
      </w:r>
    </w:p>
    <w:p>
      <w:pPr>
        <w:spacing w:line="360" w:lineRule="auto" w:after="160"/>
        <w:jc w:val="both"/>
      </w:pPr>
      <w:r>
        <w:rPr>
          <w:rFonts w:ascii="Arial" w:hAnsi="Arial" w:eastAsia="Arial"/>
          <w:b w:val="0"/>
          <w:i w:val="0"/>
          <w:color w:val="000000"/>
          <w:sz w:val="24"/>
        </w:rPr>
        <w:t>Sobre la instrumentación: cada visitante emite eventos identificados por un código de sesión anónimo guardado en el navegador, y todos los ratios se calculan sobre visitantes únicos y no sobre impactos. La tabla de eventos no contiene ningún dato personal; las direcciones de correo se guardan en una tabla separada, con el único fin de avisar el lanzamiento, tal como el formulario declara.</w:t>
      </w:r>
    </w:p>
    <w:p>
      <w:pPr>
        <w:keepNext/>
        <w:spacing w:line="300" w:lineRule="auto" w:after="120"/>
      </w:pPr>
      <w:r>
        <w:br w:type="page"/>
      </w:r>
      <w:r>
        <w:rPr>
          <w:rFonts w:ascii="Arial" w:hAnsi="Arial" w:eastAsia="Arial"/>
          <w:b/>
          <w:i w:val="0"/>
          <w:color w:val="000000"/>
          <w:sz w:val="32"/>
        </w:rPr>
        <w:t>Anexo B · Declaración de uso de inteligencia artificial</w:t>
      </w:r>
    </w:p>
    <w:p>
      <w:pPr>
        <w:spacing w:line="360" w:lineRule="auto" w:after="160"/>
        <w:jc w:val="both"/>
      </w:pPr>
      <w:r>
        <w:rPr>
          <w:rFonts w:ascii="Arial" w:hAnsi="Arial" w:eastAsia="Arial"/>
          <w:b w:val="0"/>
          <w:i w:val="0"/>
          <w:color w:val="000000"/>
          <w:sz w:val="24"/>
        </w:rPr>
        <w:t>En línea con las pautas de la Maestría sobre la declaración de uso de inteligencia artificial, se detallan a continuación las herramientas empleadas en la elaboración de este trabajo, el propósito de su uso y la forma en que interactuamos con ellas.</w:t>
      </w:r>
    </w:p>
    <w:p>
      <w:pPr>
        <w:keepNext/>
        <w:spacing w:line="360" w:lineRule="auto" w:before="160" w:after="40"/>
      </w:pPr>
      <w:r>
        <w:rPr>
          <w:rFonts w:ascii="Arial" w:hAnsi="Arial" w:eastAsia="Arial"/>
          <w:b/>
          <w:i w:val="0"/>
          <w:color w:val="000000"/>
          <w:sz w:val="24"/>
        </w:rPr>
        <w:t>Herramientas utilizadas</w:t>
      </w:r>
    </w:p>
    <w:p>
      <w:pPr>
        <w:spacing w:line="360" w:lineRule="auto" w:after="160"/>
        <w:jc w:val="both"/>
      </w:pPr>
      <w:r>
        <w:rPr>
          <w:rFonts w:ascii="Arial" w:hAnsi="Arial" w:eastAsia="Arial"/>
          <w:b w:val="0"/>
          <w:i w:val="0"/>
          <w:color w:val="000000"/>
          <w:sz w:val="24"/>
        </w:rPr>
        <w:t>Para elaborar este trabajo se hizo uso de Claude, de Anthropic, en su modo Cowork y a través de Claude Code, utilizado como espacio de trabajo compartido, es decir un repositorio común donde se centralizó todo el contexto del proyecto, incluyendo las hipótesis, los documentos de los módulos anteriores, el código del prototipo y los resultados del experimento. Corresponde aclarar, además, que la inteligencia artificial no es sólo una herramienta de este documento sino el objeto del producto: el coach agéntico descripto en la Sección 3 se construyó con esas mismas tecnologías.</w:t>
      </w:r>
    </w:p>
    <w:p>
      <w:pPr>
        <w:keepNext/>
        <w:spacing w:line="360" w:lineRule="auto" w:before="160" w:after="40"/>
      </w:pPr>
      <w:r>
        <w:rPr>
          <w:rFonts w:ascii="Arial" w:hAnsi="Arial" w:eastAsia="Arial"/>
          <w:b/>
          <w:i w:val="0"/>
          <w:color w:val="000000"/>
          <w:sz w:val="24"/>
        </w:rPr>
        <w:t>Motivación</w:t>
      </w:r>
    </w:p>
    <w:p>
      <w:pPr>
        <w:spacing w:line="360" w:lineRule="auto" w:after="160"/>
        <w:jc w:val="both"/>
      </w:pPr>
      <w:r>
        <w:rPr>
          <w:rFonts w:ascii="Arial" w:hAnsi="Arial" w:eastAsia="Arial"/>
          <w:b w:val="0"/>
          <w:i w:val="0"/>
          <w:color w:val="000000"/>
          <w:sz w:val="24"/>
        </w:rPr>
        <w:t>El propósito principal fue sostener la trazabilidad entre el diseño del Módulo 4 y la evidencia de este módulo, y garantizar que ningún número del entregable se separara de su fuente. Con un embudo instrumentado, métricas de plataforma y criterios de éxito fijados de antemano, necesitábamos una forma ordenada de verificar que cada porcentaje del documento se derivara de los datos registrados y que ningún criterio se hubiera reformulado después de ver el resultado.</w:t>
      </w:r>
    </w:p>
    <w:p>
      <w:pPr>
        <w:keepNext/>
        <w:spacing w:line="360" w:lineRule="auto" w:before="160" w:after="40"/>
      </w:pPr>
      <w:r>
        <w:rPr>
          <w:rFonts w:ascii="Arial" w:hAnsi="Arial" w:eastAsia="Arial"/>
          <w:b/>
          <w:i w:val="0"/>
          <w:color w:val="000000"/>
          <w:sz w:val="24"/>
        </w:rPr>
        <w:t>Uso reflexivo y enfoque dialógico</w:t>
      </w:r>
    </w:p>
    <w:p>
      <w:pPr>
        <w:spacing w:line="360" w:lineRule="auto" w:after="160"/>
        <w:jc w:val="both"/>
      </w:pPr>
      <w:r>
        <w:rPr>
          <w:rFonts w:ascii="Arial" w:hAnsi="Arial" w:eastAsia="Arial"/>
          <w:b w:val="0"/>
          <w:i w:val="0"/>
          <w:color w:val="000000"/>
          <w:sz w:val="24"/>
        </w:rPr>
        <w:t>La interacción con la inteligencia artificial fue la de un copiloto de pensamiento y no la de un generador pasivo de texto. El flujo de trabajo típico consistió en partir de los supuestos declarados en la Sección 8 del Módulo 4, discutir qué experimento los ponía a prueba con el menor costo, fijar los criterios de éxito antes de correr y, una vez obtenidos los datos, contrastarlos uno a uno sin permitir que los umbrales se movieran. El criterio de clic que no se alcanzó es producto de esa disciplina: se reporta como se fijó. Sobre esa base, Claude se usó como disparador de primeros borradores, que luego fueron revisados, corregidos y reescritos. El diseño del experimento, la interpretación de los resultados y la redacción final son nuestra responsabilidad.</w:t>
      </w:r>
    </w:p>
    <w:p>
      <w:pPr>
        <w:spacing w:line="360" w:lineRule="auto" w:after="160"/>
        <w:jc w:val="both"/>
      </w:pPr>
      <w:r>
        <w:rPr>
          <w:rFonts w:ascii="Arial" w:hAnsi="Arial" w:eastAsia="Arial"/>
          <w:b w:val="0"/>
          <w:i w:val="0"/>
          <w:color w:val="000000"/>
          <w:sz w:val="24"/>
        </w:rPr>
        <w:t>A modo de ejemplo, algunas de las instrucciones dirigidas que se utilizaron fueron:</w:t>
      </w:r>
    </w:p>
    <w:p>
      <w:pPr>
        <w:spacing w:line="360" w:lineRule="auto" w:after="80"/>
        <w:ind w:left="340"/>
        <w:jc w:val="both"/>
      </w:pPr>
      <w:r>
        <w:rPr>
          <w:rFonts w:ascii="Arial" w:hAnsi="Arial" w:eastAsia="Arial"/>
          <w:b w:val="0"/>
          <w:i w:val="0"/>
          <w:color w:val="000000"/>
          <w:sz w:val="24"/>
        </w:rPr>
        <w:t>Tomando los cinco riesgos declarados en la Sección 8 del Módulo 4, decime cuáles se pueden testear con una pieza de comunicación y una landing, y cuáles necesitan uso sostenido del producto.</w:t>
      </w:r>
    </w:p>
    <w:p>
      <w:pPr>
        <w:spacing w:line="360" w:lineRule="auto" w:after="80"/>
        <w:ind w:left="340"/>
        <w:jc w:val="both"/>
      </w:pPr>
      <w:r>
        <w:rPr>
          <w:rFonts w:ascii="Arial" w:hAnsi="Arial" w:eastAsia="Arial"/>
          <w:b w:val="0"/>
          <w:i w:val="0"/>
          <w:color w:val="000000"/>
          <w:sz w:val="24"/>
        </w:rPr>
        <w:t>Con estos números del embudo, contrastá cada criterio de éxito que habíamos fijado antes de correr y marcá explícitamente el que no se alcanzó, sin reformularlo.</w:t>
      </w:r>
    </w:p>
    <w:p>
      <w:pPr>
        <w:spacing w:line="360" w:lineRule="auto" w:after="160"/>
        <w:ind w:left="340"/>
        <w:jc w:val="both"/>
      </w:pPr>
      <w:r>
        <w:rPr>
          <w:rFonts w:ascii="Arial" w:hAnsi="Arial" w:eastAsia="Arial"/>
          <w:b w:val="0"/>
          <w:i w:val="0"/>
          <w:color w:val="000000"/>
          <w:sz w:val="24"/>
        </w:rPr>
        <w:t>Revisá el borrador y señalá cada afirmación que no se derive de un dato registrado o de una cita de campo de los módulos anteriores.</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