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120"/>
        <w:jc w:val="center"/>
      </w:pPr>
      <w:r>
        <w:rPr>
          <w:rFonts w:ascii="Arial" w:hAnsi="Arial"/>
          <w:b/>
          <w:i w:val="0"/>
          <w:color w:val="000000"/>
          <w:sz w:val="24"/>
        </w:rPr>
        <w:t>Universidad de San Andrés — MIA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Programa New Business Launchpad — Módulo 2</w:t>
      </w:r>
    </w:p>
    <w:p/>
    <w:p/>
    <w:p>
      <w:pPr>
        <w:spacing w:after="80"/>
        <w:jc w:val="center"/>
      </w:pPr>
      <w:r>
        <w:rPr>
          <w:rFonts w:ascii="Arial" w:hAnsi="Arial"/>
          <w:b/>
          <w:i w:val="0"/>
          <w:color w:val="000000"/>
          <w:sz w:val="36"/>
        </w:rPr>
        <w:t>Anexo de Investigación de Mercado</w:t>
      </w:r>
    </w:p>
    <w:p>
      <w:pPr>
        <w:spacing w:after="120"/>
        <w:jc w:val="center"/>
      </w:pPr>
      <w:r>
        <w:rPr>
          <w:rFonts w:ascii="Arial" w:hAnsi="Arial"/>
          <w:b w:val="0"/>
          <w:i/>
          <w:color w:val="000000"/>
          <w:sz w:val="24"/>
        </w:rPr>
        <w:t>Respaldo documental del Doc #3 — Proyecto Scala</w:t>
      </w:r>
    </w:p>
    <w:p/>
    <w:p/>
    <w:p>
      <w:pPr>
        <w:spacing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Dupla: Nicolás Karagozian · Benjamín Mackinnon</w:t>
      </w:r>
    </w:p>
    <w:p>
      <w:pPr>
        <w:spacing w:after="120"/>
        <w:jc w:val="center"/>
      </w:pPr>
      <w:r>
        <w:rPr>
          <w:rFonts w:ascii="Arial" w:hAnsi="Arial"/>
          <w:b w:val="0"/>
          <w:i w:val="0"/>
          <w:color w:val="000000"/>
          <w:sz w:val="22"/>
        </w:rPr>
        <w:t>Buenos Aires, junio de 2026</w:t>
      </w:r>
    </w:p>
    <w:p/>
    <w:p/>
    <w:p>
      <w:r>
        <w:rPr>
          <w:rFonts w:ascii="Arial" w:hAnsi="Arial"/>
          <w:b w:val="0"/>
          <w:i w:val="0"/>
          <w:color w:val="000000"/>
          <w:sz w:val="22"/>
        </w:rPr>
        <w:t>Este anexo consolida la investigación de respaldo del Doc #3: todos los datos con su fuente y URL, las fichas detalladas de competidores, los supuestos del modelo de unit economics y los insumos recogidos en la clase del Módulo 2 y en la reunión con el mentor de negocios. Cada cifra distingue dato (fuente oficial/consultora) de estimación o supuesto.</w:t>
      </w:r>
    </w:p>
    <w:p>
      <w:r>
        <w:br w:type="page"/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000000"/>
          <w:sz w:val="30"/>
        </w:rPr>
        <w:t>0. Insumos del Mentor y de la Clase (NBL, junio 2026)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0.1. Reunión con Esteban (mentor de negocios) — 1 de junio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TAM con dos ejes:</w:t>
      </w:r>
      <w:r>
        <w:rPr>
          <w:rFonts w:ascii="Arial" w:hAnsi="Arial"/>
          <w:b w:val="0"/>
          <w:i w:val="0"/>
          <w:color w:val="000000"/>
          <w:sz w:val="21"/>
        </w:rPr>
        <w:t xml:space="preserve"> cantidad de clientes y volumen de negocio en USD. Para Scala: población activa de LatAm de nivel socioeconómico medio-alto con capacidad de comprar dispositivo y pagar servicio mensual. Un TAM grande (miles de millones) no asusta: es el techo sin límite de recursos.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SAM:</w:t>
      </w:r>
      <w:r>
        <w:rPr>
          <w:rFonts w:ascii="Arial" w:hAnsi="Arial"/>
          <w:b w:val="0"/>
          <w:i w:val="0"/>
          <w:color w:val="000000"/>
          <w:sz w:val="21"/>
        </w:rPr>
        <w:t xml:space="preserve"> arrancar por Argentina o grandes centros urbanos. Relación TAM→SAM típica 5-10%.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SOM:</w:t>
      </w:r>
      <w:r>
        <w:rPr>
          <w:rFonts w:ascii="Arial" w:hAnsi="Arial"/>
          <w:b w:val="0"/>
          <w:i w:val="0"/>
          <w:color w:val="000000"/>
          <w:sz w:val="21"/>
        </w:rPr>
        <w:t xml:space="preserve"> 2-3% del SAM, conservador y aceptable para inversores. Ejercicio inverso: a US$ 10/mes, ~45.000 usuarios → ~US$ 5M/año. Ingresos año 5 de referencia: US$ 3-10M.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Todo número con fuente estadística</w:t>
      </w:r>
      <w:r>
        <w:rPr>
          <w:rFonts w:ascii="Arial" w:hAnsi="Arial"/>
          <w:b w:val="0"/>
          <w:i w:val="0"/>
          <w:color w:val="000000"/>
          <w:sz w:val="21"/>
        </w:rPr>
        <w:t xml:space="preserve"> (censos, estadísticas de LatAm). Validar el problema con encuestas reales.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Competencia:</w:t>
      </w:r>
      <w:r>
        <w:rPr>
          <w:rFonts w:ascii="Arial" w:hAnsi="Arial"/>
          <w:b w:val="0"/>
          <w:i w:val="0"/>
          <w:color w:val="000000"/>
          <w:sz w:val="21"/>
        </w:rPr>
        <w:t xml:space="preserve"> Google/Samsung pueden hacerlo, pero un equipo chico apasionado compite con comunicación genuina y dinamismo. Ventaja local: 'producto argentino'. Competidor startup de SF/NY (Bevel) como referencia.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Pricing US$ 10/mes</w:t>
      </w:r>
      <w:r>
        <w:rPr>
          <w:rFonts w:ascii="Arial" w:hAnsi="Arial"/>
          <w:b w:val="0"/>
          <w:i w:val="0"/>
          <w:color w:val="000000"/>
          <w:sz w:val="21"/>
        </w:rPr>
        <w:t xml:space="preserve"> validado. Costo variable clave: Terra API ~US$ 500/mes. </w:t>
      </w:r>
      <w:r>
        <w:rPr>
          <w:rFonts w:ascii="Arial" w:hAnsi="Arial"/>
          <w:b/>
          <w:i w:val="0"/>
          <w:color w:val="000000"/>
          <w:sz w:val="21"/>
        </w:rPr>
        <w:t>Diferenciación</w:t>
      </w:r>
      <w:r>
        <w:rPr>
          <w:rFonts w:ascii="Arial" w:hAnsi="Arial"/>
          <w:b w:val="0"/>
          <w:i w:val="0"/>
          <w:color w:val="000000"/>
          <w:sz w:val="21"/>
        </w:rPr>
        <w:t xml:space="preserve"> es lo más crítico. Roadmap a un mes (no a un año). Arquitectura escalable desde el inicio. No tercerizar desarrollo. Buscar el ángulo de impacto social (democratizar performance).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0.2. Clase Módulo 2 — Framework de evaluación (2 de junio)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Demanda:</w:t>
      </w:r>
      <w:r>
        <w:rPr>
          <w:rFonts w:ascii="Arial" w:hAnsi="Arial"/>
          <w:b w:val="0"/>
          <w:i w:val="0"/>
          <w:color w:val="000000"/>
          <w:sz w:val="21"/>
        </w:rPr>
        <w:t xml:space="preserve"> problema no resuelto y relevante. Características: popular, creciente, urgente, obligatorio, frecuente (más características = mejor).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Mercado:</w:t>
      </w:r>
      <w:r>
        <w:rPr>
          <w:rFonts w:ascii="Arial" w:hAnsi="Arial"/>
          <w:b w:val="0"/>
          <w:i w:val="0"/>
          <w:color w:val="000000"/>
          <w:sz w:val="21"/>
        </w:rPr>
        <w:t xml:space="preserve"> TAM = ARPU anual × N° de clientes potenciales. Industria fragmentada + etapa inicial = mejor para entrar. Inversores VC buscan TAMs de miles de millones.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Competencia:</w:t>
      </w:r>
      <w:r>
        <w:rPr>
          <w:rFonts w:ascii="Arial" w:hAnsi="Arial"/>
          <w:b w:val="0"/>
          <w:i w:val="0"/>
          <w:color w:val="000000"/>
          <w:sz w:val="21"/>
        </w:rPr>
        <w:t xml:space="preserve"> se define desde la perspectiva del cliente (quién resuelve total o parcialmente el problema), no desde la técnica del producto.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Fit emprendedor:</w:t>
      </w:r>
      <w:r>
        <w:rPr>
          <w:rFonts w:ascii="Arial" w:hAnsi="Arial"/>
          <w:b w:val="0"/>
          <w:i w:val="0"/>
          <w:color w:val="000000"/>
          <w:sz w:val="21"/>
        </w:rPr>
        <w:t xml:space="preserve"> motivación (años de trabajo sobre algo que apasiona) + expertise/conocimiento de industria y habilidades clave.</w:t>
      </w:r>
    </w:p>
    <w:p>
      <w:r>
        <w:br w:type="page"/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000000"/>
          <w:sz w:val="30"/>
        </w:rPr>
        <w:t>1. Investigación de Mercado — datos y fuentes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1.1. Mercados globales y regionales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Fitness apps global: </w:t>
      </w:r>
      <w:r>
        <w:rPr>
          <w:rFonts w:ascii="Arial" w:hAnsi="Arial"/>
          <w:b/>
          <w:i w:val="0"/>
          <w:color w:val="000000"/>
          <w:sz w:val="21"/>
        </w:rPr>
        <w:t>US$ 12,12B (2025)</w:t>
      </w:r>
      <w:r>
        <w:rPr>
          <w:rFonts w:ascii="Arial" w:hAnsi="Arial"/>
          <w:b w:val="0"/>
          <w:i w:val="0"/>
          <w:color w:val="000000"/>
          <w:sz w:val="21"/>
        </w:rPr>
        <w:t>, CAGR 13,4% → US$ 33,58B (2033). Grand View Research.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0">
        <w:r>
          <w:rPr>
            <w:rFonts w:ascii="Arial" w:hAnsi="Arial"/>
            <w:sz w:val="18"/>
            <w:color w:val="0563C1"/>
            <w:u w:val="single"/>
          </w:rPr>
          <w:t xml:space="preserve">Grand View Research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Wearables / fitness trackers global: </w:t>
      </w:r>
      <w:r>
        <w:rPr>
          <w:rFonts w:ascii="Arial" w:hAnsi="Arial"/>
          <w:b/>
          <w:i w:val="0"/>
          <w:color w:val="000000"/>
          <w:sz w:val="21"/>
        </w:rPr>
        <w:t>US$ 62,03B (2024)</w:t>
      </w:r>
      <w:r>
        <w:rPr>
          <w:rFonts w:ascii="Arial" w:hAnsi="Arial"/>
          <w:b w:val="0"/>
          <w:i w:val="0"/>
          <w:color w:val="000000"/>
          <w:sz w:val="21"/>
        </w:rPr>
        <w:t>, CAGR ~22,1%. Fortune Business Insights.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1">
        <w:r>
          <w:rPr>
            <w:rFonts w:ascii="Arial" w:hAnsi="Arial"/>
            <w:sz w:val="18"/>
            <w:color w:val="0563C1"/>
            <w:u w:val="single"/>
          </w:rPr>
          <w:t xml:space="preserve">Fortune Business Insights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AI in fitness &amp; wellness: </w:t>
      </w:r>
      <w:r>
        <w:rPr>
          <w:rFonts w:ascii="Arial" w:hAnsi="Arial"/>
          <w:b/>
          <w:i w:val="0"/>
          <w:color w:val="000000"/>
          <w:sz w:val="21"/>
        </w:rPr>
        <w:t>US$ 10,68B (2025)</w:t>
      </w:r>
      <w:r>
        <w:rPr>
          <w:rFonts w:ascii="Arial" w:hAnsi="Arial"/>
          <w:b w:val="0"/>
          <w:i w:val="0"/>
          <w:color w:val="000000"/>
          <w:sz w:val="21"/>
        </w:rPr>
        <w:t>, CAGR 19,3% → US$ 57,8B (2035). InsightAce Analytic.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2">
        <w:r>
          <w:rPr>
            <w:rFonts w:ascii="Arial" w:hAnsi="Arial"/>
            <w:sz w:val="18"/>
            <w:color w:val="0563C1"/>
            <w:u w:val="single"/>
          </w:rPr>
          <w:t xml:space="preserve">InsightAce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Fitness apps LatAm: </w:t>
      </w:r>
      <w:r>
        <w:rPr>
          <w:rFonts w:ascii="Arial" w:hAnsi="Arial"/>
          <w:b/>
          <w:i w:val="0"/>
          <w:color w:val="000000"/>
          <w:sz w:val="21"/>
        </w:rPr>
        <w:t>US$ 0,67B (2024)</w:t>
      </w:r>
      <w:r>
        <w:rPr>
          <w:rFonts w:ascii="Arial" w:hAnsi="Arial"/>
          <w:b w:val="0"/>
          <w:i w:val="0"/>
          <w:color w:val="000000"/>
          <w:sz w:val="21"/>
        </w:rPr>
        <w:t>, CAGR 27,88% → US$ 6,13B (2033). Market Data Forecast.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3">
        <w:r>
          <w:rPr>
            <w:rFonts w:ascii="Arial" w:hAnsi="Arial"/>
            <w:sz w:val="18"/>
            <w:color w:val="0563C1"/>
            <w:u w:val="single"/>
          </w:rPr>
          <w:t xml:space="preserve">Market Data Forecast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Virtual fitness: US$ 31,2B (2025), CAGR 23%. Mordor Intelligence.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4">
        <w:r>
          <w:rPr>
            <w:rFonts w:ascii="Arial" w:hAnsi="Arial"/>
            <w:sz w:val="18"/>
            <w:color w:val="0563C1"/>
            <w:u w:val="single"/>
          </w:rPr>
          <w:t xml:space="preserve">Mordor Intelligence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1.2. Argentina — datos para el SAM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Población total: </w:t>
      </w:r>
      <w:r>
        <w:rPr>
          <w:rFonts w:ascii="Arial" w:hAnsi="Arial"/>
          <w:b/>
          <w:i w:val="0"/>
          <w:color w:val="000000"/>
          <w:sz w:val="21"/>
        </w:rPr>
        <w:t>46.234.830</w:t>
      </w:r>
      <w:r>
        <w:rPr>
          <w:rFonts w:ascii="Arial" w:hAnsi="Arial"/>
          <w:b w:val="0"/>
          <w:i w:val="0"/>
          <w:color w:val="000000"/>
          <w:sz w:val="21"/>
        </w:rPr>
        <w:t xml:space="preserve"> (Censo 2022). Adultos 18+: </w:t>
      </w:r>
      <w:r>
        <w:rPr>
          <w:rFonts w:ascii="Arial" w:hAnsi="Arial"/>
          <w:b/>
          <w:i w:val="0"/>
          <w:color w:val="000000"/>
          <w:sz w:val="21"/>
        </w:rPr>
        <w:t>33.668.080</w:t>
      </w:r>
      <w:r>
        <w:rPr>
          <w:rFonts w:ascii="Arial" w:hAnsi="Arial"/>
          <w:b w:val="0"/>
          <w:i w:val="0"/>
          <w:color w:val="000000"/>
          <w:sz w:val="21"/>
        </w:rPr>
        <w:t>. INDEC.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5">
        <w:r>
          <w:rPr>
            <w:rFonts w:ascii="Arial" w:hAnsi="Arial"/>
            <w:sz w:val="18"/>
            <w:color w:val="0563C1"/>
            <w:u w:val="single"/>
          </w:rPr>
          <w:t xml:space="preserve">INDEC Censo 2022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Actividad física: </w:t>
      </w:r>
      <w:r>
        <w:rPr>
          <w:rFonts w:ascii="Arial" w:hAnsi="Arial"/>
          <w:b/>
          <w:i w:val="0"/>
          <w:color w:val="000000"/>
          <w:sz w:val="21"/>
        </w:rPr>
        <w:t>64,9% de adultos hace actividad insuficiente</w:t>
      </w:r>
      <w:r>
        <w:rPr>
          <w:rFonts w:ascii="Arial" w:hAnsi="Arial"/>
          <w:b w:val="0"/>
          <w:i w:val="0"/>
          <w:color w:val="000000"/>
          <w:sz w:val="21"/>
        </w:rPr>
        <w:t xml:space="preserve"> (→ ~35,1% suficiente). INDEC, 4ª ENFR 2018.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6">
        <w:r>
          <w:rPr>
            <w:rFonts w:ascii="Arial" w:hAnsi="Arial"/>
            <w:sz w:val="18"/>
            <w:color w:val="0563C1"/>
            <w:u w:val="single"/>
          </w:rPr>
          <w:t xml:space="preserve">INDEC ENFR 2018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Encuesta Nacional de Actividad Física y Deporte 2023 (fuente oficial complementaria). Secretaría de Deportes.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7">
        <w:r>
          <w:rPr>
            <w:rFonts w:ascii="Arial" w:hAnsi="Arial"/>
            <w:sz w:val="18"/>
            <w:color w:val="0563C1"/>
            <w:u w:val="single"/>
          </w:rPr>
          <w:t xml:space="preserve">ENAFyD 2023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Smartphone: penetración ~88-97% / 41M+ usuarios (2024). GSMA / Statista / DataReportal.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8">
        <w:r>
          <w:rPr>
            <w:rFonts w:ascii="Arial" w:hAnsi="Arial"/>
            <w:sz w:val="18"/>
            <w:color w:val="0563C1"/>
            <w:u w:val="single"/>
          </w:rPr>
          <w:t xml:space="preserve">DataReportal 2024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NSE: ABC1 ~5%, C2 ~17% → </w:t>
      </w:r>
      <w:r>
        <w:rPr>
          <w:rFonts w:ascii="Arial" w:hAnsi="Arial"/>
          <w:b/>
          <w:i w:val="0"/>
          <w:color w:val="000000"/>
          <w:sz w:val="21"/>
        </w:rPr>
        <w:t>medio-alto (ABC1+C2) ≈ 22%</w:t>
      </w:r>
      <w:r>
        <w:rPr>
          <w:rFonts w:ascii="Arial" w:hAnsi="Arial"/>
          <w:b w:val="0"/>
          <w:i w:val="0"/>
          <w:color w:val="000000"/>
          <w:sz w:val="21"/>
        </w:rPr>
        <w:t>. SAIMO / Infonegocios.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19">
        <w:r>
          <w:rPr>
            <w:rFonts w:ascii="Arial" w:hAnsi="Arial"/>
            <w:sz w:val="18"/>
            <w:color w:val="0563C1"/>
            <w:u w:val="single"/>
          </w:rPr>
          <w:t xml:space="preserve">SAIMO / Infonegocios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Disposición a pagar: cuota de gimnasio 2026 ~$30.000-42.990/mes en cadenas (≥ US$ 10). iProfesional / La Capital.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0">
        <w:r>
          <w:rPr>
            <w:rFonts w:ascii="Arial" w:hAnsi="Arial"/>
            <w:sz w:val="18"/>
            <w:color w:val="0563C1"/>
            <w:u w:val="single"/>
          </w:rPr>
          <w:t xml:space="preserve">iProfesional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1.3. ARPU de referencia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ARPU fitness apps (sector, diluido): </w:t>
      </w:r>
      <w:r>
        <w:rPr>
          <w:rFonts w:ascii="Arial" w:hAnsi="Arial"/>
          <w:b/>
          <w:i w:val="0"/>
          <w:color w:val="000000"/>
          <w:sz w:val="21"/>
        </w:rPr>
        <w:t>US$ 22,55/año</w:t>
      </w:r>
      <w:r>
        <w:rPr>
          <w:rFonts w:ascii="Arial" w:hAnsi="Arial"/>
          <w:b w:val="0"/>
          <w:i w:val="0"/>
          <w:color w:val="000000"/>
          <w:sz w:val="21"/>
        </w:rPr>
        <w:t xml:space="preserve">. Scala apunta a </w:t>
      </w:r>
      <w:r>
        <w:rPr>
          <w:rFonts w:ascii="Arial" w:hAnsi="Arial"/>
          <w:b/>
          <w:i w:val="0"/>
          <w:color w:val="000000"/>
          <w:sz w:val="21"/>
        </w:rPr>
        <w:t>US$ 120/año</w:t>
      </w:r>
      <w:r>
        <w:rPr>
          <w:rFonts w:ascii="Arial" w:hAnsi="Arial"/>
          <w:b w:val="0"/>
          <w:i w:val="0"/>
          <w:color w:val="000000"/>
          <w:sz w:val="21"/>
        </w:rPr>
        <w:t xml:space="preserve"> (suscriptor pago). Statista.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1">
        <w:r>
          <w:rPr>
            <w:rFonts w:ascii="Arial" w:hAnsi="Arial"/>
            <w:sz w:val="18"/>
            <w:color w:val="0563C1"/>
            <w:u w:val="single"/>
          </w:rPr>
          <w:t xml:space="preserve">Statista ARPU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1.4. Cálculo SAM / SOM (resumen)</w:t>
      </w:r>
    </w:p>
    <w:p>
      <w:r>
        <w:rPr>
          <w:rFonts w:ascii="Arial" w:hAnsi="Arial"/>
          <w:b w:val="0"/>
          <w:i w:val="0"/>
          <w:color w:val="000000"/>
          <w:sz w:val="22"/>
        </w:rPr>
        <w:t xml:space="preserve">Adultos 18+ (33.668.080) × 35,1% activos × 22% NSE medio-alto × 88% smartphone = </w:t>
      </w:r>
      <w:r>
        <w:rPr>
          <w:rFonts w:ascii="Arial" w:hAnsi="Arial"/>
          <w:b/>
          <w:i w:val="0"/>
          <w:color w:val="000000"/>
          <w:sz w:val="22"/>
        </w:rPr>
        <w:t>2.287.867 clientes potenciales</w:t>
      </w:r>
      <w:r>
        <w:rPr>
          <w:rFonts w:ascii="Arial" w:hAnsi="Arial"/>
          <w:b w:val="0"/>
          <w:i w:val="0"/>
          <w:color w:val="000000"/>
          <w:sz w:val="22"/>
        </w:rPr>
        <w:t xml:space="preserve">. A ARPU US$ 120 → </w:t>
      </w:r>
      <w:r>
        <w:rPr>
          <w:rFonts w:ascii="Arial" w:hAnsi="Arial"/>
          <w:b/>
          <w:i w:val="0"/>
          <w:color w:val="000000"/>
          <w:sz w:val="22"/>
        </w:rPr>
        <w:t>SAM ≈ US$ 274,5M/año</w:t>
      </w:r>
      <w:r>
        <w:rPr>
          <w:rFonts w:ascii="Arial" w:hAnsi="Arial"/>
          <w:b w:val="0"/>
          <w:i w:val="0"/>
          <w:color w:val="000000"/>
          <w:sz w:val="22"/>
        </w:rPr>
        <w:t>. SOM 2% = 45.757 usuarios (US$ 5,49M); 3% = 68.636 usuarios (US$ 8,24M); 5% = 114.393 usuarios (US$ 13,7M). Detalle con fórmulas en el Excel adjunto, hoja 'Mercado'.</w:t>
      </w:r>
    </w:p>
    <w:p>
      <w:r>
        <w:rPr>
          <w:rFonts w:ascii="Arial" w:hAnsi="Arial"/>
          <w:b/>
          <w:i w:val="0"/>
          <w:color w:val="000000"/>
          <w:sz w:val="22"/>
        </w:rPr>
        <w:t>Gaps declarados:</w:t>
      </w:r>
      <w:r>
        <w:rPr>
          <w:rFonts w:ascii="Arial" w:hAnsi="Arial"/>
          <w:b w:val="0"/>
          <w:i w:val="0"/>
          <w:color w:val="000000"/>
          <w:sz w:val="22"/>
        </w:rPr>
        <w:t xml:space="preserve"> (1) no hay dato oficial citable de penetración de wearables sobre población argentina; (2) el % 'activo' de la ENFR es un proxy amplio, no 'atleta comprometido' (el core target es un subconjunto más chico y cualificado).</w:t>
      </w:r>
    </w:p>
    <w:p>
      <w:r>
        <w:br w:type="page"/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000000"/>
          <w:sz w:val="30"/>
        </w:rPr>
        <w:t>2. Investigación de Industria — datos y fuentes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2.1. Estructura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Apps: </w:t>
      </w:r>
      <w:r>
        <w:rPr>
          <w:rFonts w:ascii="Arial" w:hAnsi="Arial"/>
          <w:b/>
          <w:i w:val="0"/>
          <w:color w:val="000000"/>
          <w:sz w:val="21"/>
        </w:rPr>
        <w:t>fragmentada</w:t>
      </w:r>
      <w:r>
        <w:rPr>
          <w:rFonts w:ascii="Arial" w:hAnsi="Arial"/>
          <w:b w:val="0"/>
          <w:i w:val="0"/>
          <w:color w:val="000000"/>
          <w:sz w:val="21"/>
        </w:rPr>
        <w:t>. Líderes por usuarios: Strava ~16%, Fitbit ~10%; top-3 apenas 25-30%. Market.us.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2">
        <w:r>
          <w:rPr>
            <w:rFonts w:ascii="Arial" w:hAnsi="Arial"/>
            <w:sz w:val="18"/>
            <w:color w:val="0563C1"/>
            <w:u w:val="single"/>
          </w:rPr>
          <w:t xml:space="preserve">Market.us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Wearables: </w:t>
      </w:r>
      <w:r>
        <w:rPr>
          <w:rFonts w:ascii="Arial" w:hAnsi="Arial"/>
          <w:b/>
          <w:i w:val="0"/>
          <w:color w:val="000000"/>
          <w:sz w:val="21"/>
        </w:rPr>
        <w:t>oligopolio</w:t>
      </w:r>
      <w:r>
        <w:rPr>
          <w:rFonts w:ascii="Arial" w:hAnsi="Arial"/>
          <w:b w:val="0"/>
          <w:i w:val="0"/>
          <w:color w:val="000000"/>
          <w:sz w:val="21"/>
        </w:rPr>
        <w:t>. Top-5 (Apple, Samsung, Xiaomi, Fitbit/Google, Garmin) ~62%; Apple &gt;28%. Grand View / IDC.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3">
        <w:r>
          <w:rPr>
            <w:rFonts w:ascii="Arial" w:hAnsi="Arial"/>
            <w:sz w:val="18"/>
            <w:color w:val="0563C1"/>
            <w:u w:val="single"/>
          </w:rPr>
          <w:t xml:space="preserve">Grand View — Wearables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2.2. Etapa y tendencias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Fitness de base maduro; </w:t>
      </w:r>
      <w:r>
        <w:rPr>
          <w:rFonts w:ascii="Arial" w:hAnsi="Arial"/>
          <w:b/>
          <w:i w:val="0"/>
          <w:color w:val="000000"/>
          <w:sz w:val="21"/>
        </w:rPr>
        <w:t>AI coaching en desarrollo/auge</w:t>
      </w:r>
      <w:r>
        <w:rPr>
          <w:rFonts w:ascii="Arial" w:hAnsi="Arial"/>
          <w:b w:val="0"/>
          <w:i w:val="0"/>
          <w:color w:val="000000"/>
          <w:sz w:val="21"/>
        </w:rPr>
        <w:t>. Adopción GenAI en salud: 85% explorando (desde 25% en Q4 2023). McKinsey.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4">
        <w:r>
          <w:rPr>
            <w:rFonts w:ascii="Arial" w:hAnsi="Arial"/>
            <w:sz w:val="18"/>
            <w:color w:val="0563C1"/>
            <w:u w:val="single"/>
          </w:rPr>
          <w:t xml:space="preserve">McKinsey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Femtech: US$ 8,56B (2025) → US$ 16,78B (2030), CAGR 14,4%; mujeres &gt;70% de usuarios de wearables. Mordor Intelligence.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5">
        <w:r>
          <w:rPr>
            <w:rFonts w:ascii="Arial" w:hAnsi="Arial"/>
            <w:sz w:val="18"/>
            <w:color w:val="0563C1"/>
            <w:u w:val="single"/>
          </w:rPr>
          <w:t xml:space="preserve">Mordor — Femtech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2.3. Riesgos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Churn: mensual promedio </w:t>
      </w:r>
      <w:r>
        <w:rPr>
          <w:rFonts w:ascii="Arial" w:hAnsi="Arial"/>
          <w:b/>
          <w:i w:val="0"/>
          <w:color w:val="000000"/>
          <w:sz w:val="21"/>
        </w:rPr>
        <w:t>9,2%</w:t>
      </w:r>
      <w:r>
        <w:rPr>
          <w:rFonts w:ascii="Arial" w:hAnsi="Arial"/>
          <w:b w:val="0"/>
          <w:i w:val="0"/>
          <w:color w:val="000000"/>
          <w:sz w:val="21"/>
        </w:rPr>
        <w:t>, retención día-30 de 8-12%. RetentionCheck.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6">
        <w:r>
          <w:rPr>
            <w:rFonts w:ascii="Arial" w:hAnsi="Arial"/>
            <w:sz w:val="18"/>
            <w:color w:val="0563C1"/>
            <w:u w:val="single"/>
          </w:rPr>
          <w:t xml:space="preserve">RetentionCheck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Regulación IA/datos de salud (FDA, GDPR, leyes estatales). IntuitionLabs.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7">
        <w:r>
          <w:rPr>
            <w:rFonts w:ascii="Arial" w:hAnsi="Arial"/>
            <w:sz w:val="18"/>
            <w:color w:val="0563C1"/>
            <w:u w:val="single"/>
          </w:rPr>
          <w:t xml:space="preserve">IntuitionLabs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Precisión wearables: Apple Watch subestima HRV ~8,3ms vs chest strap. PMC.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8">
        <w:r>
          <w:rPr>
            <w:rFonts w:ascii="Arial" w:hAnsi="Arial"/>
            <w:sz w:val="18"/>
            <w:color w:val="0563C1"/>
            <w:u w:val="single"/>
          </w:rPr>
          <w:t xml:space="preserve">PMC — validación HRV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2.4. Atractivo para inversores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Salud digital VC: </w:t>
      </w:r>
      <w:r>
        <w:rPr>
          <w:rFonts w:ascii="Arial" w:hAnsi="Arial"/>
          <w:b/>
          <w:i w:val="0"/>
          <w:color w:val="000000"/>
          <w:sz w:val="21"/>
        </w:rPr>
        <w:t>US$ 14,2B (2025), +35%</w:t>
      </w:r>
      <w:r>
        <w:rPr>
          <w:rFonts w:ascii="Arial" w:hAnsi="Arial"/>
          <w:b w:val="0"/>
          <w:i w:val="0"/>
          <w:color w:val="000000"/>
          <w:sz w:val="21"/>
        </w:rPr>
        <w:t>; IA captó 54%; fitness/wellness 3er vertical (US$ 2,0B). Rock Health.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29">
        <w:r>
          <w:rPr>
            <w:rFonts w:ascii="Arial" w:hAnsi="Arial"/>
            <w:sz w:val="18"/>
            <w:color w:val="0563C1"/>
            <w:u w:val="single"/>
          </w:rPr>
          <w:t xml:space="preserve">Rock Health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Comparables: Whoop US$ 10,1B (2026); Oura US$ 11B (2025); Strava US$ 2,2B (2025). Crunchbase / CNBC / PYMNTS.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30">
        <w:r>
          <w:rPr>
            <w:rFonts w:ascii="Arial" w:hAnsi="Arial"/>
            <w:sz w:val="18"/>
            <w:color w:val="0563C1"/>
            <w:u w:val="single"/>
          </w:rPr>
          <w:t xml:space="preserve">Crunchbase — Whoop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2.5. Rentabilidad y pricing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Gross margin SaaS sano: </w:t>
      </w:r>
      <w:r>
        <w:rPr>
          <w:rFonts w:ascii="Arial" w:hAnsi="Arial"/>
          <w:b/>
          <w:i w:val="0"/>
          <w:color w:val="000000"/>
          <w:sz w:val="21"/>
        </w:rPr>
        <w:t>70-85%</w:t>
      </w:r>
      <w:r>
        <w:rPr>
          <w:rFonts w:ascii="Arial" w:hAnsi="Arial"/>
          <w:b w:val="0"/>
          <w:i w:val="0"/>
          <w:color w:val="000000"/>
          <w:sz w:val="21"/>
        </w:rPr>
        <w:t>; LTV:CAC ≥ 3:1. Eagle Rock CFO.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31">
        <w:r>
          <w:rPr>
            <w:rFonts w:ascii="Arial" w:hAnsi="Arial"/>
            <w:sz w:val="18"/>
            <w:color w:val="0563C1"/>
            <w:u w:val="single"/>
          </w:rPr>
          <w:t xml:space="preserve">Eagle Rock CFO</w:t>
        </w:r>
      </w:hyperlink>
    </w:p>
    <w:p>
      <w:r>
        <w:rPr>
          <w:rFonts w:ascii="Arial" w:hAnsi="Arial"/>
          <w:b w:val="0"/>
          <w:i w:val="0"/>
          <w:color w:val="000000"/>
          <w:sz w:val="22"/>
        </w:rPr>
        <w:t xml:space="preserve">Benchmarks de precio mensual: Oura US$ 5,99; Bevel US$ 6; Garmin Connect+ US$ 6,99; Fitbod US$ 9,99; </w:t>
      </w:r>
      <w:r>
        <w:rPr>
          <w:rFonts w:ascii="Arial" w:hAnsi="Arial"/>
          <w:b/>
          <w:i w:val="0"/>
          <w:color w:val="000000"/>
          <w:sz w:val="22"/>
        </w:rPr>
        <w:t>Scala US$ 10</w:t>
      </w:r>
      <w:r>
        <w:rPr>
          <w:rFonts w:ascii="Arial" w:hAnsi="Arial"/>
          <w:b w:val="0"/>
          <w:i w:val="0"/>
          <w:color w:val="000000"/>
          <w:sz w:val="22"/>
        </w:rPr>
        <w:t>; Apple Fitness+ US$ 9,99; Google Health US$ 9,99; Strava US$ 11,99; Freeletics US$ 12,99; TrainingPeaks US$ 14,99; MyFitnessPal US$ 19,99; Future US$ 149.</w:t>
      </w:r>
    </w:p>
    <w:p>
      <w:r>
        <w:br w:type="page"/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000000"/>
          <w:sz w:val="30"/>
        </w:rPr>
        <w:t>3. Fichas de Competidores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3.1. Directos</w:t>
      </w:r>
    </w:p>
    <w:p>
      <w:pPr>
        <w:spacing w:before="60"/>
      </w:pPr>
      <w:r>
        <w:rPr>
          <w:rFonts w:ascii="Arial" w:hAnsi="Arial"/>
          <w:b/>
          <w:i/>
          <w:color w:val="000000"/>
          <w:sz w:val="22"/>
        </w:rPr>
        <w:t>Bevel (startup — el más directo)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Fundación 2023 (Nueva York). Fundadores: Grey Nguyen (CEO), Ben Yang (CTO), Aditya Agarwal (ex-CTO Dropbox).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Funding: </w:t>
      </w:r>
      <w:r>
        <w:rPr>
          <w:rFonts w:ascii="Arial" w:hAnsi="Arial"/>
          <w:b/>
          <w:i w:val="0"/>
          <w:color w:val="000000"/>
          <w:sz w:val="21"/>
        </w:rPr>
        <w:t>US$ 14M</w:t>
      </w:r>
      <w:r>
        <w:rPr>
          <w:rFonts w:ascii="Arial" w:hAnsi="Arial"/>
          <w:b w:val="0"/>
          <w:i w:val="0"/>
          <w:color w:val="000000"/>
          <w:sz w:val="21"/>
        </w:rPr>
        <w:t xml:space="preserve"> (Serie A US$ 10M liderada por General Catalyst, oct 2025). A fines de 2025 pasó a modelo freemium, con su motor de IA (Bevel Intelligence) como tier premium del orden de los </w:t>
      </w:r>
      <w:r>
        <w:rPr>
          <w:rFonts w:ascii="Arial" w:hAnsi="Arial"/>
          <w:b/>
          <w:i w:val="0"/>
          <w:color w:val="000000"/>
          <w:sz w:val="21"/>
        </w:rPr>
        <w:t>US$ 15/mes</w:t>
      </w:r>
      <w:r>
        <w:rPr>
          <w:rFonts w:ascii="Arial" w:hAnsi="Arial"/>
          <w:b w:val="0"/>
          <w:i w:val="0"/>
          <w:color w:val="000000"/>
          <w:sz w:val="21"/>
        </w:rPr>
        <w:t>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Tracción: +100.000 DAU; retención &gt;80% a 90 días. Coach agéntico y completo, software-first; </w:t>
      </w:r>
      <w:r>
        <w:rPr>
          <w:rFonts w:ascii="Arial" w:hAnsi="Arial"/>
          <w:b/>
          <w:i w:val="0"/>
          <w:color w:val="000000"/>
          <w:sz w:val="21"/>
        </w:rPr>
        <w:t>integra Garmin</w:t>
      </w:r>
      <w:r>
        <w:rPr>
          <w:rFonts w:ascii="Arial" w:hAnsi="Arial"/>
          <w:b w:val="0"/>
          <w:i w:val="0"/>
          <w:color w:val="000000"/>
          <w:sz w:val="21"/>
        </w:rPr>
        <w:t xml:space="preserve"> y otros wearables; </w:t>
      </w:r>
      <w:r>
        <w:rPr>
          <w:rFonts w:ascii="Arial" w:hAnsi="Arial"/>
          <w:b/>
          <w:i w:val="0"/>
          <w:color w:val="000000"/>
          <w:sz w:val="21"/>
        </w:rPr>
        <w:t>disponible globalmente, también en Argentina</w:t>
      </w:r>
      <w:r>
        <w:rPr>
          <w:rFonts w:ascii="Arial" w:hAnsi="Arial"/>
          <w:b w:val="0"/>
          <w:i w:val="0"/>
          <w:color w:val="000000"/>
          <w:sz w:val="21"/>
        </w:rPr>
        <w:t>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Diferenciación de Scala frente a Bevel:</w:t>
      </w:r>
      <w:r>
        <w:rPr>
          <w:rFonts w:ascii="Arial" w:hAnsi="Arial"/>
          <w:b w:val="0"/>
          <w:i w:val="0"/>
          <w:color w:val="000000"/>
          <w:sz w:val="21"/>
        </w:rPr>
        <w:t xml:space="preserve"> la conversación como interfaz principal, precio menor (US$ 10 vs ~US$ 15), foco nativo LatAm/español, y el modelo de crecimiento viral con influencers. Empleados: no publicado.</w:t>
      </w:r>
    </w:p>
    <w:p>
      <w:r>
        <w:rPr>
          <w:sz w:val="4"/>
        </w:rPr>
      </w:r>
    </w:p>
    <w:p>
      <w:r>
        <w:rPr>
          <w:rFonts w:ascii="Arial" w:hAnsi="Arial"/>
          <w:b w:val="0"/>
          <w:i/>
          <w:color w:val="000000"/>
          <w:sz w:val="18"/>
        </w:rPr>
        <w:t xml:space="preserve">Fuente: </w:t>
      </w:r>
      <w:hyperlink r:id="rId32">
        <w:r>
          <w:rPr>
            <w:rFonts w:ascii="Arial" w:hAnsi="Arial"/>
            <w:sz w:val="18"/>
            <w:color w:val="0563C1"/>
            <w:u w:val="single"/>
          </w:rPr>
          <w:t xml:space="preserve">TechCrunch — Bevel Series A (2025)</w:t>
        </w:r>
      </w:hyperlink>
    </w:p>
    <w:p>
      <w:pPr>
        <w:spacing w:before="60"/>
      </w:pPr>
      <w:r>
        <w:rPr>
          <w:rFonts w:ascii="Arial" w:hAnsi="Arial"/>
          <w:b/>
          <w:i/>
          <w:color w:val="000000"/>
          <w:sz w:val="22"/>
        </w:rPr>
        <w:t>Google Health (Fitbit + coach Gemini)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Fitbit fundada 2007; adquirida por Google por US$ 2,1B (2021). Revenue Fitbit standalone: US$ 1,43B (2019).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Coach de salud con Gemini lanzado globalmente el 19-may-2026, en Google Health Premium a </w:t>
      </w:r>
      <w:r>
        <w:rPr>
          <w:rFonts w:ascii="Arial" w:hAnsi="Arial"/>
          <w:b/>
          <w:i w:val="0"/>
          <w:color w:val="000000"/>
          <w:sz w:val="21"/>
        </w:rPr>
        <w:t>US$ 9,99/mes</w:t>
      </w:r>
      <w:r>
        <w:rPr>
          <w:rFonts w:ascii="Arial" w:hAnsi="Arial"/>
          <w:b w:val="0"/>
          <w:i w:val="0"/>
          <w:color w:val="000000"/>
          <w:sz w:val="21"/>
        </w:rPr>
        <w:t xml:space="preserve"> (US$ 99/año).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Debilidades:</w:t>
      </w:r>
      <w:r>
        <w:rPr>
          <w:rFonts w:ascii="Arial" w:hAnsi="Arial"/>
          <w:b w:val="0"/>
          <w:i w:val="0"/>
          <w:color w:val="000000"/>
          <w:sz w:val="21"/>
        </w:rPr>
        <w:t xml:space="preserve"> atado a hardware Fitbit/Pixel; posicionamiento de bienestar general; corporación lenta.</w:t>
      </w:r>
    </w:p>
    <w:p>
      <w:r>
        <w:rPr>
          <w:rFonts w:ascii="Arial" w:hAnsi="Arial"/>
          <w:b w:val="0"/>
          <w:i/>
          <w:color w:val="000000"/>
          <w:sz w:val="18"/>
        </w:rPr>
        <w:t xml:space="preserve">Fuente: </w:t>
      </w:r>
      <w:hyperlink r:id="rId33">
        <w:r>
          <w:rPr>
            <w:rFonts w:ascii="Arial" w:hAnsi="Arial"/>
            <w:sz w:val="18"/>
            <w:color w:val="0563C1"/>
            <w:u w:val="single"/>
          </w:rPr>
          <w:t xml:space="preserve">TechCrunch — Google AI health coach (2026)</w:t>
        </w:r>
      </w:hyperlink>
    </w:p>
    <w:p>
      <w:pPr>
        <w:spacing w:before="60"/>
      </w:pPr>
      <w:r>
        <w:rPr>
          <w:rFonts w:ascii="Arial" w:hAnsi="Arial"/>
          <w:b/>
          <w:i/>
          <w:color w:val="000000"/>
          <w:sz w:val="22"/>
        </w:rPr>
        <w:t>Apps nativas de wearables (Garmin / Apple / Samsung)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Garmin (1989; +20.000 empleados; ~US$ 6,3B revenue 2024). Connect+ lanzado mar-2025, US$ 6,99/mes, con Active Intelligence (insights, no coach que ejecuta).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Apple: Fitness+ US$ 9,99/mes (videos); coach con IA 'Project Mulberry' recortado (feb-2026). Samsung Health: gratis, dashboard atado a Galaxy Watch.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Patrón común:</w:t>
      </w:r>
      <w:r>
        <w:rPr>
          <w:rFonts w:ascii="Arial" w:hAnsi="Arial"/>
          <w:b w:val="0"/>
          <w:i w:val="0"/>
          <w:color w:val="000000"/>
          <w:sz w:val="21"/>
        </w:rPr>
        <w:t xml:space="preserve"> integrados al hardware y baratos, pero no agénticos, no conversacionales, no ejecutan, atados a su device.</w:t>
      </w:r>
    </w:p>
    <w:p>
      <w:r>
        <w:rPr>
          <w:rFonts w:ascii="Arial" w:hAnsi="Arial"/>
          <w:b w:val="0"/>
          <w:i/>
          <w:color w:val="000000"/>
          <w:sz w:val="18"/>
        </w:rPr>
        <w:t xml:space="preserve">Fuentes: </w:t>
      </w:r>
      <w:hyperlink r:id="rId34">
        <w:r>
          <w:rPr>
            <w:rFonts w:ascii="Arial" w:hAnsi="Arial"/>
            <w:sz w:val="18"/>
            <w:color w:val="0563C1"/>
            <w:u w:val="single"/>
          </w:rPr>
          <w:t xml:space="preserve">Garmin Newsroom (2025)</w:t>
        </w:r>
      </w:hyperlink>
      <w:r>
        <w:rPr>
          <w:rFonts w:ascii="Arial" w:hAnsi="Arial"/>
          <w:b w:val="0"/>
          <w:i w:val="0"/>
          <w:color w:val="000000"/>
          <w:sz w:val="18"/>
        </w:rPr>
        <w:t xml:space="preserve">  ·  </w:t>
      </w:r>
      <w:hyperlink r:id="rId35">
        <w:r>
          <w:rPr>
            <w:rFonts w:ascii="Arial" w:hAnsi="Arial"/>
            <w:sz w:val="18"/>
            <w:color w:val="0563C1"/>
            <w:u w:val="single"/>
          </w:rPr>
          <w:t xml:space="preserve">Bloomberg — Apple (2026)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3.2. Indirectos (síntesis)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Whoop:</w:t>
      </w:r>
      <w:r>
        <w:rPr>
          <w:rFonts w:ascii="Arial" w:hAnsi="Arial"/>
          <w:b w:val="0"/>
          <w:i w:val="0"/>
          <w:color w:val="000000"/>
          <w:sz w:val="21"/>
        </w:rPr>
        <w:t xml:space="preserve"> wearable de recuperación por suscripción; Whoop Coach con GPT-4 (2023); val. US$ 10,1B (2026). Exige hardware propio.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Oura:</w:t>
      </w:r>
      <w:r>
        <w:rPr>
          <w:rFonts w:ascii="Arial" w:hAnsi="Arial"/>
          <w:b w:val="0"/>
          <w:i w:val="0"/>
          <w:color w:val="000000"/>
          <w:sz w:val="21"/>
        </w:rPr>
        <w:t xml:space="preserve"> smart ring de sueño; val. US$ 11B (2025). Requiere comprar ring; tracking, no coach.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Strava:</w:t>
      </w:r>
      <w:r>
        <w:rPr>
          <w:rFonts w:ascii="Arial" w:hAnsi="Arial"/>
          <w:b w:val="0"/>
          <w:i w:val="0"/>
          <w:color w:val="000000"/>
          <w:sz w:val="21"/>
        </w:rPr>
        <w:t xml:space="preserve"> red social de actividad; 180M usuarios; val. US$ 2,2B. Logging, no coaching.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Future:</w:t>
      </w:r>
      <w:r>
        <w:rPr>
          <w:rFonts w:ascii="Arial" w:hAnsi="Arial"/>
          <w:b w:val="0"/>
          <w:i w:val="0"/>
          <w:color w:val="000000"/>
          <w:sz w:val="21"/>
        </w:rPr>
        <w:t xml:space="preserve"> coaching humano 1:1 a US$ 149/mes; no escala.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/>
          <w:i w:val="0"/>
          <w:color w:val="000000"/>
          <w:sz w:val="21"/>
        </w:rPr>
        <w:t>MyFitnessPal:</w:t>
      </w:r>
      <w:r>
        <w:rPr>
          <w:rFonts w:ascii="Arial" w:hAnsi="Arial"/>
          <w:b w:val="0"/>
          <w:i w:val="0"/>
          <w:color w:val="000000"/>
          <w:sz w:val="21"/>
        </w:rPr>
        <w:t xml:space="preserve"> logger de nutrición, 200M usuarios; en 2026 adquirió </w:t>
      </w:r>
      <w:r>
        <w:rPr>
          <w:rFonts w:ascii="Arial" w:hAnsi="Arial"/>
          <w:b/>
          <w:i w:val="0"/>
          <w:color w:val="000000"/>
          <w:sz w:val="21"/>
        </w:rPr>
        <w:t>Cal AI</w:t>
      </w:r>
      <w:r>
        <w:rPr>
          <w:rFonts w:ascii="Arial" w:hAnsi="Arial"/>
          <w:b w:val="0"/>
          <w:i w:val="0"/>
          <w:color w:val="000000"/>
          <w:sz w:val="21"/>
        </w:rPr>
        <w:t xml:space="preserve"> (logueo por foto), lo que reduce fricción pero sigue siendo tracking, no coaching agéntico. </w:t>
      </w:r>
      <w:r>
        <w:rPr>
          <w:rFonts w:ascii="Arial" w:hAnsi="Arial"/>
          <w:b/>
          <w:i w:val="0"/>
          <w:color w:val="000000"/>
          <w:sz w:val="21"/>
        </w:rPr>
        <w:t>Freeletics, Fitbod, TrainingPeaks:</w:t>
      </w:r>
      <w:r>
        <w:rPr>
          <w:rFonts w:ascii="Arial" w:hAnsi="Arial"/>
          <w:b w:val="0"/>
          <w:i w:val="0"/>
          <w:color w:val="000000"/>
          <w:sz w:val="21"/>
        </w:rPr>
        <w:t xml:space="preserve"> verticales parciales sin coach agéntico multi-dominio. Tendencia del sector: varios suman componentes de coach humano (caro, no escala).</w:t>
      </w:r>
    </w:p>
    <w:p>
      <w:r>
        <w:br w:type="page"/>
      </w:r>
    </w:p>
    <w:p>
      <w:pPr>
        <w:spacing w:after="160"/>
        <w:jc w:val="left"/>
      </w:pPr>
      <w:r>
        <w:rPr>
          <w:rFonts w:ascii="Arial" w:hAnsi="Arial"/>
          <w:b/>
          <w:i w:val="0"/>
          <w:color w:val="000000"/>
          <w:sz w:val="30"/>
        </w:rPr>
        <w:t>4. Unit Economics — supuestos y resultados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4.1. Precios de lista (datos)</w:t>
      </w:r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 xml:space="preserve">Claude Sonnet API: </w:t>
      </w:r>
      <w:r>
        <w:rPr>
          <w:rFonts w:ascii="Arial" w:hAnsi="Arial"/>
          <w:b/>
          <w:i w:val="0"/>
          <w:color w:val="000000"/>
          <w:sz w:val="21"/>
        </w:rPr>
        <w:t>US$ 3 / MTok input, US$ 15 / MTok output</w:t>
      </w:r>
      <w:r>
        <w:rPr>
          <w:rFonts w:ascii="Arial" w:hAnsi="Arial"/>
          <w:b w:val="0"/>
          <w:i w:val="0"/>
          <w:color w:val="000000"/>
          <w:sz w:val="21"/>
        </w:rPr>
        <w:t>; cache read US$ 0,30/MTok; vision ≈ ancho×alto/750. Anthropic.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36">
        <w:r>
          <w:rPr>
            <w:rFonts w:ascii="Arial" w:hAnsi="Arial"/>
            <w:sz w:val="18"/>
            <w:color w:val="0563C1"/>
            <w:u w:val="single"/>
          </w:rPr>
          <w:t xml:space="preserve">Anthropic Pricing</w:t>
        </w:r>
      </w:hyperlink>
    </w:p>
    <w:p>
      <w:pPr>
        <w:pStyle w:val="ListBullet"/>
        <w:spacing w:line="264" w:lineRule="auto" w:after="40"/>
        <w:jc w:val="both"/>
      </w:pPr>
      <w:r>
        <w:rPr>
          <w:rFonts w:ascii="Arial" w:hAnsi="Arial"/>
          <w:b w:val="0"/>
          <w:i w:val="0"/>
          <w:color w:val="000000"/>
          <w:sz w:val="21"/>
        </w:rPr>
        <w:t>Render (hosting) desde US$ 25/servicio; Neon Postgres usage-based; Terra API desde US$ 399/mes anual (US$ 499 mensual, 100k créditos).</w:t>
      </w:r>
      <w:r>
        <w:rPr>
          <w:rFonts w:ascii="Arial" w:hAnsi="Arial"/>
          <w:b w:val="0"/>
          <w:i w:val="0"/>
          <w:color w:val="000000"/>
          <w:sz w:val="21"/>
        </w:rPr>
        <w:t xml:space="preserve">  </w:t>
      </w:r>
      <w:hyperlink r:id="rId37">
        <w:r>
          <w:rPr>
            <w:rFonts w:ascii="Arial" w:hAnsi="Arial"/>
            <w:sz w:val="18"/>
            <w:color w:val="0563C1"/>
            <w:u w:val="single"/>
          </w:rPr>
          <w:t xml:space="preserve">Terra Pricing</w:t>
        </w:r>
      </w:hyperlink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4.2. Supuestos de consumo</w:t>
      </w:r>
    </w:p>
    <w:p>
      <w:r>
        <w:rPr>
          <w:rFonts w:ascii="Arial" w:hAnsi="Arial"/>
          <w:b w:val="0"/>
          <w:i w:val="0"/>
          <w:color w:val="000000"/>
          <w:sz w:val="22"/>
        </w:rPr>
        <w:t>Turno de chat: ~8.000 tokens input (system + context packs + historial) / ~600 output. Foto (vision): ~2.500 input / ~400 output. Caching ~70% del input en escenarios medio/pesado. Escenarios: Liviano (30 chats + 10 fotos, sin caching) · Medio (90 chats + 45 fotos) · Pesado (200 chats + 90 fotos).</w:t>
      </w:r>
    </w:p>
    <w:p>
      <w:pPr>
        <w:spacing w:before="120" w:after="40"/>
        <w:jc w:val="left"/>
      </w:pPr>
      <w:r>
        <w:rPr>
          <w:rFonts w:ascii="Arial" w:hAnsi="Arial"/>
          <w:b/>
          <w:i w:val="0"/>
          <w:color w:val="000000"/>
          <w:sz w:val="24"/>
        </w:rPr>
        <w:t>4.3. COGS y margen (US$/usuario/mes)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20"/>
              </w:rPr>
              <w:t>Escenario (a 10.000 us.)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20"/>
              </w:rPr>
              <w:t>COGS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20"/>
              </w:rPr>
              <w:t>Margen US$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/>
                <w:i w:val="0"/>
                <w:color w:val="000000"/>
                <w:sz w:val="20"/>
              </w:rPr>
              <w:t>Margen 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Uso liviano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US$ 1,24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US$ 8,76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87,6%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Uso medio (base)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US$ 2,33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US$ 7,67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76,7%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Uso pesado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US$ 4,90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US$ 5,10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Arial" w:hAnsi="Arial"/>
                <w:b w:val="0"/>
                <w:i w:val="0"/>
                <w:color w:val="000000"/>
                <w:sz w:val="20"/>
              </w:rPr>
              <w:t>51,0%</w:t>
            </w:r>
          </w:p>
        </w:tc>
      </w:tr>
    </w:tbl>
    <w:p/>
    <w:p>
      <w:r>
        <w:rPr>
          <w:rFonts w:ascii="Arial" w:hAnsi="Arial"/>
          <w:b w:val="0"/>
          <w:i w:val="0"/>
          <w:color w:val="000000"/>
          <w:sz w:val="22"/>
        </w:rPr>
        <w:t xml:space="preserve">El COGS está dominado por la API LLM (&gt;90% a escala); los costos fijos (hosting, DB, Terra) se diluyen de ~US$ 0,59/usuario a 1.000 usuarios a ~US$ 0,05 a 45.000. </w:t>
      </w:r>
      <w:r>
        <w:rPr>
          <w:rFonts w:ascii="Arial" w:hAnsi="Arial"/>
          <w:b/>
          <w:i w:val="0"/>
          <w:color w:val="000000"/>
          <w:sz w:val="22"/>
        </w:rPr>
        <w:t>Sensibilidad:</w:t>
      </w:r>
      <w:r>
        <w:rPr>
          <w:rFonts w:ascii="Arial" w:hAnsi="Arial"/>
          <w:b w:val="0"/>
          <w:i w:val="0"/>
          <w:color w:val="000000"/>
          <w:sz w:val="22"/>
        </w:rPr>
        <w:t xml:space="preserve"> el margen solo se vuelve negativo a ~14 chats/día por usuario (fuera de todo patrón realista). El prompt caching y el ruteo multi-modelo (Haiku para tareas simples) son estructurales para la viabilidad. Detalle parametrizable en el Excel, hoja 'Unit Economics'.</w:t>
      </w:r>
    </w:p>
    <w:sectPr w:rsidR="00FC693F" w:rsidRPr="0006063C" w:rsidSect="00034616">
      <w:footerReference w:type="default" r:id="rId9"/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Arial" w:hAnsi="Arial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00"/>
      <w:jc w:val="both"/>
    </w:pPr>
    <w:rPr>
      <w:rFonts w:ascii="Arial" w:hAnsi="Arial" w:eastAsia="Arial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grandviewresearch.com/industry-analysis/fitness-app-market" TargetMode="External"/><Relationship Id="rId11" Type="http://schemas.openxmlformats.org/officeDocument/2006/relationships/hyperlink" Target="https://www.fortunebusinessinsights.com/fitness-tracker-market-103358" TargetMode="External"/><Relationship Id="rId12" Type="http://schemas.openxmlformats.org/officeDocument/2006/relationships/hyperlink" Target="https://www.insightaceanalytic.com/report/ai-in-fitness-and-wellness-market/2744" TargetMode="External"/><Relationship Id="rId13" Type="http://schemas.openxmlformats.org/officeDocument/2006/relationships/hyperlink" Target="https://www.marketdataforecast.com/market-reports/latin-america-fitness-app-market" TargetMode="External"/><Relationship Id="rId14" Type="http://schemas.openxmlformats.org/officeDocument/2006/relationships/hyperlink" Target="https://www.mordorintelligence.com/industry-reports/virtual-fitness-market" TargetMode="External"/><Relationship Id="rId15" Type="http://schemas.openxmlformats.org/officeDocument/2006/relationships/hyperlink" Target="https://www.indec.gob.ar/indec/web/Nivel4-Tema-2-41-165" TargetMode="External"/><Relationship Id="rId16" Type="http://schemas.openxmlformats.org/officeDocument/2006/relationships/hyperlink" Target="https://www.indec.gob.ar/ftp/cuadros/publicaciones/enfr_2018_resultados_definitivos.pdf" TargetMode="External"/><Relationship Id="rId17" Type="http://schemas.openxmlformats.org/officeDocument/2006/relationships/hyperlink" Target="https://www.argentina.gob.ar/sites/default/files/enafyd_2023_-_digital.pdf" TargetMode="External"/><Relationship Id="rId18" Type="http://schemas.openxmlformats.org/officeDocument/2006/relationships/hyperlink" Target="https://datareportal.com/reports/digital-2024-argentina" TargetMode="External"/><Relationship Id="rId19" Type="http://schemas.openxmlformats.org/officeDocument/2006/relationships/hyperlink" Target="https://infonegocios.info/nota-principal/el-nivel-abc1-en-su-minima-expresion-solo-4-9-de-la-poblacion-esta-en-tope-del-nse-que-usan-los-marketineros" TargetMode="External"/><Relationship Id="rId20" Type="http://schemas.openxmlformats.org/officeDocument/2006/relationships/hyperlink" Target="https://www.iprofesional.com/negocios/433377-boom-del-entrenamiento-de-fuerza-y-gimnasios-low-cost-que-mueve-al-mercado-del-fitness-en-argentina" TargetMode="External"/><Relationship Id="rId21" Type="http://schemas.openxmlformats.org/officeDocument/2006/relationships/hyperlink" Target="https://www.statista.com/forecasts/1437047/average-revenue-per-unit-arpu-digital-fitness-well-being-apps-digital-fitness-well-being-market-worldwide" TargetMode="External"/><Relationship Id="rId22" Type="http://schemas.openxmlformats.org/officeDocument/2006/relationships/hyperlink" Target="https://market.us/report/fitness-app-market/" TargetMode="External"/><Relationship Id="rId23" Type="http://schemas.openxmlformats.org/officeDocument/2006/relationships/hyperlink" Target="https://www.grandviewresearch.com/industry-analysis/wearable-technology-market" TargetMode="External"/><Relationship Id="rId24" Type="http://schemas.openxmlformats.org/officeDocument/2006/relationships/hyperlink" Target="https://www.mckinsey.com/industries/healthcare/our-insights/generative-ai-in-healthcare-current-trends-and-future-outlook" TargetMode="External"/><Relationship Id="rId25" Type="http://schemas.openxmlformats.org/officeDocument/2006/relationships/hyperlink" Target="https://www.mordorintelligence.com/industry-reports/femtech-market" TargetMode="External"/><Relationship Id="rId26" Type="http://schemas.openxmlformats.org/officeDocument/2006/relationships/hyperlink" Target="https://retentioncheck.com/churn-benchmarks/fitness-apps" TargetMode="External"/><Relationship Id="rId27" Type="http://schemas.openxmlformats.org/officeDocument/2006/relationships/hyperlink" Target="https://intuitionlabs.ai/articles/ai-medical-devices-regulation-2025" TargetMode="External"/><Relationship Id="rId28" Type="http://schemas.openxmlformats.org/officeDocument/2006/relationships/hyperlink" Target="https://pmc.ncbi.nlm.nih.gov/articles/PMC11478500/" TargetMode="External"/><Relationship Id="rId29" Type="http://schemas.openxmlformats.org/officeDocument/2006/relationships/hyperlink" Target="https://rockhealth.com/insights/2025-year-end-digital-health-funding-overview-a-tale-of-two-markets/" TargetMode="External"/><Relationship Id="rId30" Type="http://schemas.openxmlformats.org/officeDocument/2006/relationships/hyperlink" Target="https://news.crunchbase.com/venture/wearable-fitness-tech-ai-whoop-seriesg-funding/" TargetMode="External"/><Relationship Id="rId31" Type="http://schemas.openxmlformats.org/officeDocument/2006/relationships/hyperlink" Target="https://www.eaglerockcfo.com/blog/research/saas-finance-metrics-benchmarks" TargetMode="External"/><Relationship Id="rId32" Type="http://schemas.openxmlformats.org/officeDocument/2006/relationships/hyperlink" Target="https://techcrunch.com/2025/10/30/bevel-raises-10m-series-a-from-general-catalyst-for-its-ai-health-companion/" TargetMode="External"/><Relationship Id="rId33" Type="http://schemas.openxmlformats.org/officeDocument/2006/relationships/hyperlink" Target="https://techcrunch.com/2026/05/07/googles-9-99-per-month-ai-health-coach-launches-may-19/" TargetMode="External"/><Relationship Id="rId34" Type="http://schemas.openxmlformats.org/officeDocument/2006/relationships/hyperlink" Target="https://www.garmin.com/en-US/newsroom/press-release/wearables-health/elevate-your-health-and-fitness-goals-with-garmin-connect/" TargetMode="External"/><Relationship Id="rId35" Type="http://schemas.openxmlformats.org/officeDocument/2006/relationships/hyperlink" Target="https://www.bloomberg.com/news/articles/2026-02-05/apple-is-scaling-back-plans-for-new-ai-based-health-coach-service" TargetMode="External"/><Relationship Id="rId36" Type="http://schemas.openxmlformats.org/officeDocument/2006/relationships/hyperlink" Target="https://platform.claude.com/docs/en/about-claude/pricing" TargetMode="External"/><Relationship Id="rId37" Type="http://schemas.openxmlformats.org/officeDocument/2006/relationships/hyperlink" Target="https://tryterra.co/pric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