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80"/>
        <w:jc w:val="center"/>
      </w:pPr>
      <w:r>
        <w:rPr>
          <w:rFonts w:ascii="Arial" w:cs="Arial" w:eastAsia="Arial" w:hAnsi="Arial"/>
          <w:color w:val="000000"/>
          <w:sz w:val="24"/>
          <w:szCs w:val="24"/>
        </w:rPr>
        <w:t xml:space="preserve">Universidad de San Andrés  ·  Maestría en Inteligencia Artificial</w:t>
      </w:r>
    </w:p>
    <w:p>
      <w:pPr>
        <w:spacing w:after="0" w:line="280"/>
        <w:jc w:val="center"/>
      </w:pPr>
      <w:r>
        <w:rPr>
          <w:rFonts w:ascii="Arial" w:cs="Arial" w:eastAsia="Arial" w:hAnsi="Arial"/>
          <w:color w:val="000000"/>
          <w:sz w:val="24"/>
          <w:szCs w:val="24"/>
        </w:rPr>
        <w:t xml:space="preserve">New Business Launchpad — Módulo 3: El Cliente</w:t>
      </w:r>
    </w:p>
    <w:p>
      <w:pPr>
        <w:spacing w:after="0" w:line="240"/>
      </w:pPr>
      <w:r>
        <w:t xml:space="preserve"/>
      </w:r>
    </w:p>
    <w:p>
      <w:pPr>
        <w:spacing w:after="60" w:before="0" w:line="320"/>
        <w:jc w:val="center"/>
      </w:pPr>
      <w:r>
        <w:rPr>
          <w:rFonts w:ascii="Arial" w:cs="Arial" w:eastAsia="Arial" w:hAnsi="Arial"/>
          <w:b/>
          <w:bCs/>
          <w:color w:val="000000"/>
          <w:sz w:val="32"/>
          <w:szCs w:val="32"/>
        </w:rPr>
        <w:t xml:space="preserve">El Cliente</w:t>
      </w:r>
    </w:p>
    <w:p>
      <w:pPr>
        <w:spacing w:after="60" w:line="280"/>
        <w:jc w:val="center"/>
      </w:pPr>
      <w:r>
        <w:rPr>
          <w:rFonts w:ascii="Arial" w:cs="Arial" w:eastAsia="Arial" w:hAnsi="Arial"/>
          <w:i/>
          <w:iCs/>
          <w:color w:val="000000"/>
          <w:sz w:val="24"/>
          <w:szCs w:val="24"/>
        </w:rPr>
        <w:t xml:space="preserve">Entregable Punto I (Anexo B, Guía TFG) — Proyecto Scala</w:t>
      </w:r>
    </w:p>
    <w:p>
      <w:pPr>
        <w:spacing w:after="0" w:line="280"/>
        <w:jc w:val="center"/>
      </w:pPr>
      <w:r>
        <w:rPr>
          <w:rFonts w:ascii="Arial" w:cs="Arial" w:eastAsia="Arial" w:hAnsi="Arial"/>
          <w:color w:val="000000"/>
          <w:sz w:val="24"/>
          <w:szCs w:val="24"/>
        </w:rPr>
        <w:t xml:space="preserve">Nicolás Karagozian  ·  Benjamín Mackinnon   |   Mentor: Esteban Balduzzi</w:t>
      </w:r>
    </w:p>
    <w:p>
      <w:pPr>
        <w:spacing w:after="0" w:line="280"/>
        <w:jc w:val="center"/>
      </w:pPr>
      <w:r>
        <w:rPr>
          <w:rFonts w:ascii="Arial" w:cs="Arial" w:eastAsia="Arial" w:hAnsi="Arial"/>
          <w:color w:val="000000"/>
          <w:sz w:val="24"/>
          <w:szCs w:val="24"/>
        </w:rPr>
        <w:t xml:space="preserve">Buenos Aires, junio de 2026</w:t>
      </w:r>
    </w:p>
    <w:p>
      <w:pPr>
        <w:spacing w:after="0" w:line="240"/>
      </w:pPr>
      <w:r>
        <w:t xml:space="preserve"/>
      </w:r>
    </w:p>
    <w:p>
      <w:pPr>
        <w:spacing w:after="160" w:line="360"/>
        <w:jc w:val="both"/>
      </w:pPr>
      <w:r>
        <w:rPr>
          <w:rFonts w:ascii="Arial" w:cs="Arial" w:eastAsia="Arial" w:hAnsi="Arial"/>
          <w:i/>
          <w:iCs/>
          <w:color w:val="000000"/>
          <w:sz w:val="24"/>
          <w:szCs w:val="24"/>
        </w:rPr>
        <w:t>[Borrador / esqueleto. Las secciones 1 a 3 están redactadas a partir de la evaluación de la oportunidad (Doc 3) y del perfil intuitivo del equipo, y se ajustan con los hallazgos de campo. Las secciones 4 y 5 se completan tras las entrevistas. — Guía del mentor (reunión 19 jun): este capítulo cubre solo el lado derecho del Value Proposition Canvas (customer profile: jobs, pains y gains); la propuesta de valor es el Módulo 4. Orden sugerido del capítulo: (1) segmentación de clientes, (2) customer profile, (3) arquetipo, (4) mapa de empatía, (5) customer journey e insights. En el CUERPO del trabajo van el VPC y los insights y resultados estadísticos; al ANEXO van el arquetipo, el mapa de empatía, el guion de entrevista y encuesta, y 2 o 3 transcripciones de ejemplo. Bullets numerados son aceptables. Deadline de entrega: 3 de julio de 2026.]</w:t>
      </w:r>
    </w:p>
    <w:p>
      <w:pPr>
        <w:keepNext/>
        <w:spacing w:after="80" w:before="300" w:line="360"/>
      </w:pPr>
      <w:r>
        <w:rPr>
          <w:rFonts w:ascii="Arial" w:cs="Arial" w:eastAsia="Arial" w:hAnsi="Arial"/>
          <w:b/>
          <w:bCs/>
          <w:color w:val="000000"/>
          <w:sz w:val="28"/>
          <w:szCs w:val="28"/>
        </w:rPr>
        <w:t xml:space="preserve">1. Descripción de la necesidad / problema</w:t>
      </w:r>
    </w:p>
    <w:p>
      <w:pPr>
        <w:spacing w:after="160" w:line="360"/>
        <w:jc w:val="both"/>
      </w:pPr>
      <w:r>
        <w:rPr>
          <w:rFonts w:ascii="Arial" w:cs="Arial" w:eastAsia="Arial" w:hAnsi="Arial"/>
          <w:color w:val="000000"/>
          <w:sz w:val="24"/>
          <w:szCs w:val="24"/>
        </w:rPr>
        <w:t>El atleta amateur comprometido no recibe asesoramiento personalizado para traducir su entrenamiento, su nutrición y su recuperación en decisiones concretas del día a día. El problema central, según el trabajo de campo, es la falta de una guía accionable —no saber qué entrenar, qué comer ni cómo progresar—, más que el exceso de datos. Entre quienes sí usan un wearable aparece además la variante de “tener los datos pero no saber accionarlos”, pero es un sub-caso de un problema más amplio que afecta por igual a quienes no usan dispositivo: las aplicaciones disponibles son loggers —registradores— que muestran información, no entrenadores que indiquen qué hacer con ella.</w:t>
      </w:r>
    </w:p>
    <w:p>
      <w:pPr>
        <w:spacing w:after="160" w:line="360"/>
        <w:jc w:val="both"/>
      </w:pPr>
      <w:r>
        <w:rPr>
          <w:rFonts w:ascii="Arial" w:cs="Arial" w:eastAsia="Arial" w:hAnsi="Arial"/>
          <w:color w:val="000000"/>
          <w:sz w:val="24"/>
          <w:szCs w:val="24"/>
        </w:rPr>
        <w:t>Hoy ese vacío se cubre de maneras imperfectas. La mayoría se autogestiona —arma sus rutinas leyendo o por intuición— y, cuando el presupuesto lo permite, recurre a un coach humano cuyo costo, del orden de US$ 100 a más de US$ 400 por mes, queda fuera del alcance de la mayoría; las aplicaciones, en cambio, casi no aparecen como solución (en la encuesta, la mayoría no usa ninguna). El costo de no resolver el problema es concreto: sobreentrenamiento, lesiones, estancamiento y frustración. Se trata, además, de un problema frecuente y diario, porque el atleta decide a repetición si entrenar fuerte o descansar, qué comer y cómo recuperarse.</w:t>
      </w:r>
    </w:p>
    <w:p>
      <w:pPr>
        <w:keepNext/>
        <w:spacing w:after="80" w:before="300" w:line="360"/>
      </w:pPr>
      <w:r>
        <w:rPr>
          <w:rFonts w:ascii="Arial" w:cs="Arial" w:eastAsia="Arial" w:hAnsi="Arial"/>
          <w:b/>
          <w:bCs/>
          <w:color w:val="000000"/>
          <w:sz w:val="28"/>
          <w:szCs w:val="28"/>
        </w:rPr>
        <w:t xml:space="preserve">2. Segmentos de clientes potenciales</w:t>
      </w:r>
    </w:p>
    <w:p>
      <w:pPr>
        <w:spacing w:after="160" w:line="360"/>
        <w:jc w:val="both"/>
      </w:pPr>
      <w:r>
        <w:rPr>
          <w:rFonts w:ascii="Arial" w:cs="Arial" w:eastAsia="Arial" w:hAnsi="Arial"/>
          <w:color w:val="000000"/>
          <w:sz w:val="24"/>
          <w:szCs w:val="24"/>
        </w:rPr>
        <w:t xml:space="preserve">La necesidad descripta la padecen, en distinto grado, varios grupos. El núcleo es el atleta amateur comprometido que entrena varias veces por semana con un objetivo concreto y posee un wearable: en él el problema de datos sin accionar es más agudo. Un segundo grupo es el atleta amateur comprometido sin wearable, que enfrenta el mismo problema de falta de estructura y guía y que, en el modelo de Scala, puede aportar su contexto día a día a través de la conversación. Un tercer grupo, transversal, es la mujer atleta que requiere una planificación sensible al ciclo menstrual, una necesidad históricamente subatendida. Finalmente, existen grupos en los que el problema es marginal o de otra naturaleza —el atleta profesional o de élite, que ya cuenta con un equipo humano, y la persona sedentaria que busca empezar, cuyo problema central es el hábito y la motivación más que la optimización del rendimiento.</w:t>
      </w:r>
    </w:p>
    <w:p>
      <w:pPr>
        <w:spacing w:after="160" w:line="360"/>
        <w:jc w:val="both"/>
      </w:pPr>
      <w:r>
        <w:rPr>
          <w:rFonts w:ascii="Arial" w:cs="Arial" w:eastAsia="Arial" w:hAnsi="Arial"/>
          <w:color w:val="000000"/>
          <w:sz w:val="24"/>
          <w:szCs w:val="24"/>
        </w:rPr>
        <w:t xml:space="preserve">De este mapa, el proyecto selecciona como target al atleta amateur comprometido (con y sin wearable), e incorpora a la mujer atleta como sub-segmento dentro de ese target. Los atletas profesionales y los sedentarios quedan fuera del alcance inicial. Conviene aclarar que los influencers y atletas-referentes, mencionados en la estrategia de crecimiento del proyecto, no constituyen un segmento de cliente a monetizar sino un canal de adquisición (go-to-market); por eso no se los analiza como segmento, aunque se relevan de manera exploratoria.</w:t>
      </w:r>
    </w:p>
    <w:p>
      <w:pPr>
        <w:keepNext/>
        <w:spacing w:after="80" w:before="300" w:line="360"/>
      </w:pPr>
      <w:r>
        <w:rPr>
          <w:rFonts w:ascii="Arial" w:cs="Arial" w:eastAsia="Arial" w:hAnsi="Arial"/>
          <w:b/>
          <w:bCs/>
          <w:color w:val="000000"/>
          <w:sz w:val="28"/>
          <w:szCs w:val="28"/>
        </w:rPr>
        <w:t xml:space="preserve">3. Segmento target seleccionado</w:t>
      </w:r>
    </w:p>
    <w:p>
      <w:pPr>
        <w:spacing w:after="40" w:line="320"/>
      </w:pPr>
      <w:r>
        <w:rPr>
          <w:rFonts w:ascii="Arial" w:cs="Arial" w:eastAsia="Arial" w:hAnsi="Arial"/>
          <w:i/>
          <w:iCs/>
          <w:color w:val="000000"/>
          <w:sz w:val="24"/>
          <w:szCs w:val="24"/>
        </w:rPr>
        <w:t xml:space="preserve">Versión intuitiva (v1), a validar y ajustar con el trabajo de campo.</w:t>
      </w:r>
    </w:p>
    <w:p>
      <w:pPr>
        <w:keepNext/>
        <w:spacing w:after="60" w:before="160" w:line="340"/>
      </w:pPr>
      <w:r>
        <w:rPr>
          <w:rFonts w:ascii="Arial" w:cs="Arial" w:eastAsia="Arial" w:hAnsi="Arial"/>
          <w:b/>
          <w:bCs/>
          <w:color w:val="000000"/>
          <w:sz w:val="24"/>
          <w:szCs w:val="24"/>
        </w:rPr>
        <w:t xml:space="preserve">Demografía y psicografía</w:t>
      </w:r>
    </w:p>
    <w:p>
      <w:pPr>
        <w:spacing w:after="160" w:line="360"/>
        <w:jc w:val="both"/>
      </w:pPr>
      <w:r>
        <w:rPr>
          <w:rFonts w:ascii="Arial" w:cs="Arial" w:eastAsia="Arial" w:hAnsi="Arial"/>
          <w:color w:val="000000"/>
          <w:sz w:val="24"/>
          <w:szCs w:val="24"/>
        </w:rPr>
        <w:t xml:space="preserve">El target son adultos desde aproximadamente 18 años, de nivel socioeconómico medio y medio-alto, usuarios intensivos de smartphone y ya dispuestos a gastar en su salud y su rendimiento. Practican running, ciclismo, triatlón, gimnasio o deportes de raqueta, y entrenan tres o más veces por semana con un objetivo medible (una carrera, una marca, un peso, una recomposición corporal). En lo psicográfico son disciplinados pero con poco tiempo; les gusta medir y mejorar; consumen contenido de fitness; quieren resultados sin tener que volverse expertos en fisiología. En Scala, cliente y usuario coinciden —el atleta usa el producto y paga la suscripción—, lo que simplifica la adopción.</w:t>
      </w:r>
    </w:p>
    <w:p>
      <w:pPr>
        <w:keepNext/>
        <w:spacing w:after="60" w:before="160" w:line="340"/>
      </w:pPr>
      <w:r>
        <w:rPr>
          <w:rFonts w:ascii="Arial" w:cs="Arial" w:eastAsia="Arial" w:hAnsi="Arial"/>
          <w:b/>
          <w:bCs/>
          <w:color w:val="000000"/>
          <w:sz w:val="24"/>
          <w:szCs w:val="24"/>
        </w:rPr>
        <w:t xml:space="preserve">Jobs to be done</w:t>
      </w:r>
    </w:p>
    <w:p>
      <w:pPr>
        <w:spacing w:after="160" w:line="360"/>
        <w:jc w:val="both"/>
      </w:pPr>
      <w:r>
        <w:rPr>
          <w:rFonts w:ascii="Arial" w:cs="Arial" w:eastAsia="Arial" w:hAnsi="Arial"/>
          <w:color w:val="000000"/>
          <w:sz w:val="24"/>
          <w:szCs w:val="24"/>
        </w:rPr>
        <w:t xml:space="preserve">En el plano funcional, el atleta necesita decidir cada día si entrenar fuerte, suave o descansar; saber qué y cuándo comer para sostener su objetivo; recuperarse bien entre sesiones; progresar de forma medible; e interpretar los datos del wearable y convertirlos en acción. En el plano social, busca sentirse y mostrarse como alguien que entrena en serio y pertenecer a una comunidad. En el plano emocional, busca sentir control y confianza en que lo está haciendo bien, reducir la ansiedad de no saber si está sobre o subentrenando, y sostener la motivación a lo largo del tiempo.</w:t>
      </w:r>
    </w:p>
    <w:p>
      <w:pPr>
        <w:keepNext/>
        <w:spacing w:after="60" w:before="160" w:line="340"/>
      </w:pPr>
      <w:r>
        <w:rPr>
          <w:rFonts w:ascii="Arial" w:cs="Arial" w:eastAsia="Arial" w:hAnsi="Arial"/>
          <w:b/>
          <w:bCs/>
          <w:color w:val="000000"/>
          <w:sz w:val="24"/>
          <w:szCs w:val="24"/>
        </w:rPr>
        <w:t xml:space="preserve">Dolores (pains)</w:t>
      </w:r>
    </w:p>
    <w:p>
      <w:pPr>
        <w:spacing w:after="160" w:line="360"/>
        <w:jc w:val="both"/>
      </w:pPr>
      <w:r>
        <w:rPr>
          <w:rFonts w:ascii="Arial" w:cs="Arial" w:eastAsia="Arial" w:hAnsi="Arial"/>
          <w:color w:val="000000"/>
          <w:sz w:val="24"/>
          <w:szCs w:val="24"/>
        </w:rPr>
        <w:t xml:space="preserve">Los principales dolores son: tener muchos datos y no saber qué hacer con ellos; depender de varias aplicaciones fragmentadas que no se comunican; no poder costear un coach humano; el miedo a lesionarse, sobreentrenar o estancarse por decidir mal; recibir planes genéricos que no se adaptan a su contexto; y perder la motivación hasta abandonar. En el fondo, la frustración de que las aplicaciones informan pero no le dicen qué hacer.</w:t>
      </w:r>
    </w:p>
    <w:p>
      <w:pPr>
        <w:keepNext/>
        <w:spacing w:after="60" w:before="160" w:line="340"/>
      </w:pPr>
      <w:r>
        <w:rPr>
          <w:rFonts w:ascii="Arial" w:cs="Arial" w:eastAsia="Arial" w:hAnsi="Arial"/>
          <w:b/>
          <w:bCs/>
          <w:color w:val="000000"/>
          <w:sz w:val="24"/>
          <w:szCs w:val="24"/>
        </w:rPr>
        <w:t xml:space="preserve">Beneficios esperados (gains)</w:t>
      </w:r>
    </w:p>
    <w:p>
      <w:pPr>
        <w:spacing w:after="160" w:line="360"/>
        <w:jc w:val="both"/>
      </w:pPr>
      <w:r>
        <w:rPr>
          <w:rFonts w:ascii="Arial" w:cs="Arial" w:eastAsia="Arial" w:hAnsi="Arial"/>
          <w:color w:val="000000"/>
          <w:sz w:val="24"/>
          <w:szCs w:val="24"/>
        </w:rPr>
        <w:t xml:space="preserve">El atleta espera saber, cada día, exactamente qué hacer; contar con un plan que se ajuste solo a cómo viene su semana y su cuerpo; recibir acompañamiento personalizado a un precio accesible; progresar de forma visible sin lesionarse; y sentir que tiene un coach en el bolsillo que lo conoce y recuerda su contexto, reemplazando cinco herramientas por una.</w:t>
      </w:r>
    </w:p>
    <w:p>
      <w:pPr>
        <w:keepNext/>
        <w:spacing w:after="60" w:before="160" w:line="340"/>
      </w:pPr>
      <w:r>
        <w:rPr>
          <w:rFonts w:ascii="Arial" w:cs="Arial" w:eastAsia="Arial" w:hAnsi="Arial"/>
          <w:b/>
          <w:bCs/>
          <w:color w:val="000000"/>
          <w:sz w:val="24"/>
          <w:szCs w:val="24"/>
        </w:rPr>
        <w:t xml:space="preserve">Comportamiento y movilizadores de compra</w:t>
      </w:r>
    </w:p>
    <w:p>
      <w:pPr>
        <w:spacing w:after="160" w:line="360"/>
        <w:jc w:val="both"/>
      </w:pPr>
      <w:r>
        <w:rPr>
          <w:rFonts w:ascii="Arial" w:cs="Arial" w:eastAsia="Arial" w:hAnsi="Arial"/>
          <w:color w:val="000000"/>
          <w:sz w:val="24"/>
          <w:szCs w:val="24"/>
        </w:rPr>
        <w:t xml:space="preserve">La disposición a pagar está validada por el comportamiento actual del segmento, que ya destina dinero a aplicaciones premium y, cuando puede, a coaches o entrenadores online. Los movilizadores de compra son el deseo de alcanzar un objetivo concreto, el miedo a la lesión, la atracción por la personalización y un precio accesible frente al de un coach humano. Los principales inhibidores son la desconfianza de que una inteligencia artificial realmente lo conozca, la experiencia previa de haber abandonado otras aplicaciones, las dudas sobre la privacidad de los datos de salud y la percepción de que lo gratuito podría alcanzarle.</w:t>
      </w:r>
    </w:p>
    <w:p>
      <w:pPr>
        <w:keepNext/>
        <w:spacing w:after="60" w:before="160" w:line="340"/>
      </w:pPr>
      <w:r>
        <w:rPr>
          <w:rFonts w:ascii="Arial" w:cs="Arial" w:eastAsia="Arial" w:hAnsi="Arial"/>
          <w:b/>
          <w:bCs/>
          <w:color w:val="000000"/>
          <w:sz w:val="24"/>
          <w:szCs w:val="24"/>
        </w:rPr>
        <w:t xml:space="preserve">Arquetipo de persona</w:t>
      </w:r>
    </w:p>
    <w:p>
      <w:pPr>
        <w:spacing w:after="160" w:line="360"/>
        <w:jc w:val="both"/>
      </w:pPr>
      <w:r>
        <w:rPr>
          <w:rFonts w:ascii="Arial" w:cs="Arial" w:eastAsia="Arial" w:hAnsi="Arial"/>
          <w:color w:val="000000"/>
          <w:sz w:val="24"/>
          <w:szCs w:val="24"/>
        </w:rPr>
        <w:t xml:space="preserve">Para encarnar el segmento utilizamos el arquetipo de “Martín”, 32 años, profesional residente en Buenos Aires, de nivel socioeconómico medio-alto y orientado al smartphone. Martín corre cuatro veces por semana y entrena para un medio maratón a cinco meses; usa un reloj con GPS y aplicaciones como Strava y una de nutrición, mira los números pero no los entiende del todo, y cada mañana duda si entrenar fuerte o descansar. Su job dominante es cumplir su plan sin lesionarse; su pain dominante, tener el reloj lleno de datos sin saber accionarlos; su gain dominante, que algo le diga qué hacer hoy según cómo durmió. Lo moviliza lograr su objetivo y lo inhibe la desconfianza de que una aplicación realmente lo conozca. Como variante dentro del target se contempla a “Sofía”, con el mismo núcleo pero con la necesidad adicional de planificar su entrenamiento y nutrición de forma sensible al ciclo menstrual.</w:t>
      </w:r>
    </w:p>
    <w:p>
      <w:pPr>
        <w:keepNext/>
        <w:spacing w:after="60" w:before="160" w:line="340"/>
      </w:pPr>
      <w:r>
        <w:rPr>
          <w:rFonts w:ascii="Arial" w:cs="Arial" w:eastAsia="Arial" w:hAnsi="Arial"/>
          <w:b/>
          <w:bCs/>
          <w:color w:val="000000"/>
          <w:sz w:val="24"/>
          <w:szCs w:val="24"/>
        </w:rPr>
        <w:t xml:space="preserve">Justificación de la selección</w:t>
      </w:r>
    </w:p>
    <w:p>
      <w:pPr>
        <w:spacing w:after="160" w:line="360"/>
        <w:jc w:val="both"/>
      </w:pPr>
      <w:r>
        <w:rPr>
          <w:rFonts w:ascii="Arial" w:cs="Arial" w:eastAsia="Arial" w:hAnsi="Arial"/>
          <w:color w:val="000000"/>
          <w:sz w:val="24"/>
          <w:szCs w:val="24"/>
        </w:rPr>
        <w:t xml:space="preserve">Se eligió este segmento porque es donde el problema es más popular, frecuente y con disposición a pagar demostrada; porque cliente y usuario coinciden, lo que simplifica la adopción; y porque es el perfil que ya utiliza Scala en producción, lo que permite triangular lo que dicen las entrevistas con el comportamiento real de los usuarios actuales.</w:t>
      </w:r>
    </w:p>
    <w:p>
      <w:pPr>
        <w:keepNext/>
        <w:spacing w:after="80" w:before="300" w:line="360"/>
      </w:pPr>
      <w:r>
        <w:rPr>
          <w:rFonts w:ascii="Arial" w:cs="Arial" w:eastAsia="Arial" w:hAnsi="Arial"/>
          <w:b/>
          <w:bCs/>
          <w:color w:val="000000"/>
          <w:sz w:val="28"/>
          <w:szCs w:val="28"/>
        </w:rPr>
        <w:t xml:space="preserve">4. Proceso de validación de la necesidad y de los segmentos</w:t>
      </w:r>
    </w:p>
    <w:p>
      <w:pPr>
        <w:spacing w:after="40" w:line="320"/>
      </w:pPr>
      <w:r>
        <w:rPr>
          <w:rFonts w:ascii="Arial" w:cs="Arial" w:eastAsia="Arial" w:hAnsi="Arial"/>
          <w:i/>
          <w:iCs/>
          <w:color w:val="000000"/>
          <w:sz w:val="24"/>
          <w:szCs w:val="24"/>
        </w:rPr>
        <w:t xml:space="preserve">Sección a completar con los resultados del trabajo de campo.</w:t>
      </w:r>
    </w:p>
    <w:p>
      <w:pPr>
        <w:keepNext/>
        <w:spacing w:after="60" w:before="160" w:line="340"/>
      </w:pPr>
      <w:r>
        <w:rPr>
          <w:rFonts w:ascii="Arial" w:cs="Arial" w:eastAsia="Arial" w:hAnsi="Arial"/>
          <w:b/>
          <w:bCs/>
          <w:color w:val="000000"/>
          <w:sz w:val="24"/>
          <w:szCs w:val="24"/>
        </w:rPr>
        <w:t xml:space="preserve">Diseño de los experimentos</w:t>
      </w:r>
    </w:p>
    <w:p>
      <w:pPr>
        <w:spacing w:after="160" w:line="360"/>
        <w:jc w:val="both"/>
      </w:pPr>
      <w:r>
        <w:rPr>
          <w:rFonts w:ascii="Arial" w:cs="Arial" w:eastAsia="Arial" w:hAnsi="Arial"/>
          <w:color w:val="000000"/>
          <w:sz w:val="24"/>
          <w:szCs w:val="24"/>
        </w:rPr>
        <w:t xml:space="preserve">La validación se apoya principalmente en entrevistas de empatía con preguntas abiertas, orientadas a relevar hechos del pasado y no opiniones sobre el futuro, sin mencionar la solución para no inducir las respuestas. El plan contempla un mínimo de quince entrevistas a atletas del segmento target, distribuidas por deporte, género y tenencia de wearable para evitar sesgos, e incorpora de forma deliberada a entrevistados sin wearable y a usuarias mujeres. Se suman dos entrevistas exploratorias a influencers o atletas-referentes para indagar el canal de crecimiento, sin que cuenten como parte del segmento. Como métodos complementarios se prevén la observación del atleta usando sus herramientas y una encuesta cuantitativa para validar patrones a escala, incluyendo la pregunta de Sean Ellis sobre product-market fit.</w:t>
      </w:r>
    </w:p>
    <w:p>
      <w:pPr>
        <w:spacing w:after="160" w:line="360"/>
        <w:jc w:val="both"/>
      </w:pPr>
      <w:r>
        <w:rPr>
          <w:rFonts w:ascii="Arial" w:cs="Arial" w:eastAsia="Arial" w:hAnsi="Arial"/>
          <w:i/>
          <w:iCs/>
          <w:color w:val="000000"/>
          <w:sz w:val="24"/>
          <w:szCs w:val="24"/>
        </w:rPr>
        <w:t xml:space="preserve">[A completar: cantidad final de entrevistas realizadas, perfil de los entrevistados y período de relevamiento.]</w:t>
      </w:r>
    </w:p>
    <w:p>
      <w:pPr>
        <w:keepNext/>
        <w:spacing w:after="60" w:before="160" w:line="340"/>
      </w:pPr>
      <w:r>
        <w:rPr>
          <w:rFonts w:ascii="Arial" w:cs="Arial" w:eastAsia="Arial" w:hAnsi="Arial"/>
          <w:b/>
          <w:bCs/>
          <w:color w:val="000000"/>
          <w:sz w:val="24"/>
          <w:szCs w:val="24"/>
        </w:rPr>
        <w:t xml:space="preserve">Insights y conclusiones</w:t>
      </w:r>
    </w:p>
    <w:p>
      <w:pPr>
        <w:spacing w:after="160" w:line="360"/>
        <w:jc w:val="both"/>
      </w:pPr>
      <w:r>
        <w:rPr>
          <w:rFonts w:ascii="Arial" w:cs="Arial" w:eastAsia="Arial" w:hAnsi="Arial"/>
          <w:i/>
          <w:iCs/>
          <w:color w:val="000000"/>
          <w:sz w:val="24"/>
          <w:szCs w:val="24"/>
        </w:rPr>
        <w:t xml:space="preserve">[A completar tras la síntesis: patrones que se repiten entre entrevistados, insights no obvios, y priorización de jobs, pains y gains según relevancia, tangibilidad, insatisfacción y volumen. Indicar qué hipótesis se confirmaron, cuáles se refutaron y cuáles se matizaron.]</w:t>
      </w:r>
    </w:p>
    <w:p>
      <w:pPr>
        <w:keepNext/>
        <w:spacing w:after="60" w:before="160" w:line="340"/>
      </w:pPr>
      <w:r>
        <w:rPr>
          <w:rFonts w:ascii="Arial" w:cs="Arial" w:eastAsia="Arial" w:hAnsi="Arial"/>
          <w:b/>
          <w:bCs/>
          <w:color w:val="000000"/>
          <w:sz w:val="24"/>
          <w:szCs w:val="24"/>
        </w:rPr>
        <w:t xml:space="preserve">Mapa de empatía</w:t>
      </w:r>
    </w:p>
    <w:p>
      <w:pPr>
        <w:spacing w:after="160" w:line="360"/>
        <w:jc w:val="both"/>
      </w:pPr>
      <w:r>
        <w:rPr>
          <w:rFonts w:ascii="Arial" w:cs="Arial" w:eastAsia="Arial" w:hAnsi="Arial"/>
          <w:i/>
          <w:iCs/>
          <w:color w:val="000000"/>
          <w:sz w:val="24"/>
          <w:szCs w:val="24"/>
        </w:rPr>
        <w:t xml:space="preserve">[A completar con citas reales de las entrevistas: qué piensa y siente, qué ve, qué oye, qué dice y hace el atleta target, junto con sus pains y gains. Adjuntar la figura del mapa de empatía y explicarla en el cuerpo.]</w:t>
      </w:r>
    </w:p>
    <w:p>
      <w:pPr>
        <w:keepNext/>
        <w:spacing w:after="60" w:before="160" w:line="340"/>
      </w:pPr>
      <w:r>
        <w:rPr>
          <w:rFonts w:ascii="Arial" w:cs="Arial" w:eastAsia="Arial" w:hAnsi="Arial"/>
          <w:b/>
          <w:bCs/>
          <w:color w:val="000000"/>
          <w:sz w:val="24"/>
          <w:szCs w:val="24"/>
        </w:rPr>
        <w:t xml:space="preserve">Customer journey map</w:t>
      </w:r>
    </w:p>
    <w:p>
      <w:pPr>
        <w:spacing w:after="160" w:line="360"/>
        <w:jc w:val="both"/>
      </w:pPr>
      <w:r>
        <w:rPr>
          <w:rFonts w:ascii="Arial" w:cs="Arial" w:eastAsia="Arial" w:hAnsi="Arial"/>
          <w:i/>
          <w:iCs/>
          <w:color w:val="000000"/>
          <w:sz w:val="24"/>
          <w:szCs w:val="24"/>
        </w:rPr>
        <w:t xml:space="preserve">[A completar: recorrido del atleta con el problema —fijar objetivo, armar plan, entrenar día a día, comer y recuperarse, medir progreso, estancarse o abandonar—, marcando los puntos de mayor dolor. Adjuntar la figura del journey y explicarla en el cuerpo.]</w:t>
      </w:r>
    </w:p>
    <w:p>
      <w:pPr>
        <w:keepNext/>
        <w:spacing w:after="80" w:before="300" w:line="360"/>
      </w:pPr>
      <w:r>
        <w:rPr>
          <w:rFonts w:ascii="Arial" w:cs="Arial" w:eastAsia="Arial" w:hAnsi="Arial"/>
          <w:b/>
          <w:bCs/>
          <w:color w:val="000000"/>
          <w:sz w:val="28"/>
          <w:szCs w:val="28"/>
        </w:rPr>
        <w:t xml:space="preserve">5. Análisis comparativo de segmentos</w:t>
      </w:r>
    </w:p>
    <w:p>
      <w:pPr>
        <w:spacing w:after="40" w:line="320"/>
      </w:pPr>
      <w:r>
        <w:rPr>
          <w:rFonts w:ascii="Arial" w:cs="Arial" w:eastAsia="Arial" w:hAnsi="Arial"/>
          <w:i/>
          <w:iCs/>
          <w:color w:val="000000"/>
          <w:sz w:val="24"/>
          <w:szCs w:val="24"/>
        </w:rPr>
        <w:t xml:space="preserve">Sección a completar con datos de los usuarios reales de Scala.</w:t>
      </w:r>
    </w:p>
    <w:p>
      <w:pPr>
        <w:spacing w:after="160" w:line="360"/>
        <w:jc w:val="both"/>
      </w:pPr>
      <w:r>
        <w:rPr>
          <w:rFonts w:ascii="Arial" w:cs="Arial" w:eastAsia="Arial" w:hAnsi="Arial"/>
          <w:color w:val="000000"/>
          <w:sz w:val="24"/>
          <w:szCs w:val="24"/>
        </w:rPr>
        <w:t xml:space="preserve">Este apartado compara los segmentos potenciales identificados, el segmento target seleccionado y los clientes que la empresa ya alcanza. Dado que Scala cuenta con una versión en producción con usuarios reales, el análisis contrasta el perfil intuitivo del target con el perfil agregado de los usuarios actuales —deporte, tenencia de wearable, vía de llegada y funcionalidades más utilizadas— para detectar coincidencias y diferencias.</w:t>
      </w:r>
    </w:p>
    <w:p>
      <w:pPr>
        <w:spacing w:after="160" w:line="360"/>
        <w:jc w:val="both"/>
      </w:pPr>
      <w:r>
        <w:rPr>
          <w:rFonts w:ascii="Arial" w:cs="Arial" w:eastAsia="Arial" w:hAnsi="Arial"/>
          <w:i/>
          <w:iCs/>
          <w:color w:val="000000"/>
          <w:sz w:val="24"/>
          <w:szCs w:val="24"/>
        </w:rPr>
        <w:t xml:space="preserve">[A completar: extraer de la base de Scala, con resguardo de privacidad, el perfil agregado de los usuarios reales y contrastarlo con el target. Si difieren, documentar la diferencia como insight y discutir sus implicancias para la propuesta de valor del Módulo 4.]</w:t>
      </w:r>
    </w:p>
    <w:sectPr>
      <w:footerReference w:type="default" r:id="rId7"/>
      <w:pgSz w:w="11906" w:h="16838" w:orient="portrait"/>
      <w:pgMar w:top="1417" w:right="1701"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00000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Scala — Módulo 3: El Cliente (esqueleto)</dc:title>
  <dc:creator>Nico Karagozian + Benjamín Mackinnon</dc:creator>
  <dc:description>Entregable Punto I — Anexo B · NBL · MIA · UdeSA</dc:description>
  <cp:lastModifiedBy>Un-named</cp:lastModifiedBy>
  <cp:revision>1</cp:revision>
  <dcterms:created xsi:type="dcterms:W3CDTF">2026-06-10T00:47:41.425Z</dcterms:created>
  <dcterms:modified xsi:type="dcterms:W3CDTF">2026-06-10T00:47:41.425Z</dcterms:modified>
</cp:coreProperties>
</file>

<file path=docProps/custom.xml><?xml version="1.0" encoding="utf-8"?>
<Properties xmlns="http://schemas.openxmlformats.org/officeDocument/2006/custom-properties" xmlns:vt="http://schemas.openxmlformats.org/officeDocument/2006/docPropsVTypes"/>
</file>