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80"/>
        <w:jc w:val="center"/>
      </w:pPr>
      <w:r>
        <w:rPr>
          <w:rFonts w:ascii="Arial" w:cs="Arial" w:eastAsia="Arial" w:hAnsi="Arial"/>
          <w:color w:val="000000"/>
          <w:sz w:val="24"/>
          <w:szCs w:val="24"/>
        </w:rPr>
        <w:t xml:space="preserve">Universidad de San Andrés  ·  Maestría en Inteligencia Artificial Aplicada</w:t>
      </w:r>
    </w:p>
    <w:p>
      <w:pPr>
        <w:spacing w:after="0" w:line="280"/>
        <w:jc w:val="center"/>
      </w:pPr>
      <w:r>
        <w:rPr>
          <w:rFonts w:ascii="Arial" w:cs="Arial" w:eastAsia="Arial" w:hAnsi="Arial"/>
          <w:color w:val="000000"/>
          <w:sz w:val="24"/>
          <w:szCs w:val="24"/>
        </w:rPr>
        <w:t xml:space="preserve">New Business Launchpad — Módulo 3: El Cliente</w:t>
      </w:r>
    </w:p>
    <w:p>
      <w:pPr>
        <w:spacing w:after="0" w:line="240"/>
      </w:pPr>
      <w:r>
        <w:t xml:space="preserve"/>
      </w:r>
    </w:p>
    <w:p>
      <w:pPr>
        <w:spacing w:after="60" w:line="320"/>
        <w:jc w:val="center"/>
      </w:pPr>
      <w:r>
        <w:rPr>
          <w:rFonts w:ascii="Arial" w:cs="Arial" w:eastAsia="Arial" w:hAnsi="Arial"/>
          <w:b/>
          <w:bCs/>
          <w:color w:val="000000"/>
          <w:sz w:val="32"/>
          <w:szCs w:val="32"/>
        </w:rPr>
        <w:t xml:space="preserve">Resultados Provisorios — Entrevistas y Encuesta</w:t>
      </w:r>
    </w:p>
    <w:p>
      <w:pPr>
        <w:spacing w:after="0" w:line="280"/>
        <w:jc w:val="center"/>
      </w:pPr>
      <w:r>
        <w:rPr>
          <w:rFonts w:ascii="Arial" w:cs="Arial" w:eastAsia="Arial" w:hAnsi="Arial"/>
          <w:i/>
          <w:iCs/>
          <w:color w:val="000000"/>
          <w:sz w:val="24"/>
          <w:szCs w:val="24"/>
        </w:rPr>
        <w:t xml:space="preserve">Proceso de validación del cliente (Punto I.4, Anexo B) — Proyecto Scala</w:t>
      </w:r>
    </w:p>
    <w:p>
      <w:pPr>
        <w:spacing w:after="0" w:line="240"/>
      </w:pPr>
      <w:r>
        <w:t xml:space="preserve"/>
      </w:r>
    </w:p>
    <w:p>
      <w:pPr>
        <w:spacing w:after="0" w:line="280"/>
        <w:jc w:val="center"/>
      </w:pPr>
      <w:r>
        <w:rPr>
          <w:rFonts w:ascii="Arial" w:cs="Arial" w:eastAsia="Arial" w:hAnsi="Arial"/>
          <w:color w:val="000000"/>
          <w:sz w:val="24"/>
          <w:szCs w:val="24"/>
        </w:rPr>
        <w:t xml:space="preserve">Nicolás Karagozian  ·  Benjamín Mackinnon   |   Mentor: Esteban Balduzzi</w:t>
      </w:r>
    </w:p>
    <w:p>
      <w:pPr>
        <w:spacing w:after="0" w:line="280"/>
        <w:jc w:val="center"/>
      </w:pPr>
      <w:r>
        <w:rPr>
          <w:rFonts w:ascii="Arial" w:cs="Arial" w:eastAsia="Arial" w:hAnsi="Arial"/>
          <w:color w:val="000000"/>
          <w:sz w:val="24"/>
          <w:szCs w:val="24"/>
        </w:rPr>
        <w:t xml:space="preserve">Buenos Aires, junio de 2026</w:t>
      </w:r>
    </w:p>
    <w:p>
      <w:pPr>
        <w:spacing w:after="0" w:line="240"/>
      </w:pPr>
      <w:r>
        <w:t xml:space="preserve"/>
      </w:r>
    </w:p>
    <w:p>
      <w:pPr>
        <w:spacing w:after="160" w:line="360"/>
        <w:jc w:val="both"/>
      </w:pPr>
      <w:r>
        <w:rPr>
          <w:rFonts w:ascii="Arial" w:cs="Arial" w:eastAsia="Arial" w:hAnsi="Arial"/>
          <w:b/>
          <w:bCs/>
          <w:i w:val="false"/>
          <w:iCs w:val="false"/>
          <w:color w:val="000000"/>
          <w:sz w:val="24"/>
          <w:szCs w:val="24"/>
        </w:rPr>
        <w:t xml:space="preserve">Nota de alcance. </w:t>
      </w:r>
      <w:r>
        <w:rPr>
          <w:rFonts w:ascii="Arial" w:cs="Arial" w:eastAsia="Arial" w:hAnsi="Arial"/>
          <w:b w:val="false"/>
          <w:bCs w:val="false"/>
          <w:i w:val="false"/>
          <w:iCs w:val="false"/>
          <w:color w:val="000000"/>
          <w:sz w:val="24"/>
          <w:szCs w:val="24"/>
        </w:rPr>
        <w:t xml:space="preserve">Este documento reúne el estado provisorio del trabajo de campo del Módulo 3 al 19 de junio de 2026: las entrevistas de empatía realizadas hasta la fecha y la encuesta cuantitativa de validación. No es la entrega final del módulo, sino el insumo para completar la Sección 4 (proceso de validación) del entregable y para discutir con el mentor antes de cerrar el perfil y el arquetipo. Las cifras y conclusiones son preliminares: la regla del NBL exige un mínimo de 15 entrevistas B2C y a la fecha hay 13 cargadas; la encuesta es una muestra de conveniencia (60 respuestas) y no es estadísticamente representativa.</w:t>
      </w:r>
    </w:p>
    <w:p>
      <w:pPr>
        <w:pStyle w:val="Heading1"/>
        <w:keepNext/>
        <w:spacing w:after="80" w:before="300" w:line="340"/>
      </w:pPr>
      <w:r>
        <w:rPr>
          <w:rFonts w:ascii="Arial" w:cs="Arial" w:eastAsia="Arial" w:hAnsi="Arial"/>
          <w:b/>
          <w:bCs/>
          <w:color w:val="000000"/>
          <w:sz w:val="28"/>
          <w:szCs w:val="28"/>
        </w:rPr>
        <w:t xml:space="preserve">1. Qué tenemos relevado a la fecha</w:t>
      </w:r>
    </w:p>
    <w:p>
      <w:pPr>
        <w:spacing w:after="160" w:line="360"/>
        <w:jc w:val="both"/>
      </w:pPr>
      <w:r>
        <w:rPr>
          <w:rFonts w:ascii="Arial" w:cs="Arial" w:eastAsia="Arial" w:hAnsi="Arial"/>
          <w:color w:val="000000"/>
          <w:sz w:val="24"/>
          <w:szCs w:val="24"/>
        </w:rPr>
        <w:t xml:space="preserve">El trabajo de campo combina dos instrumentos complementarios. Por un lado, entrevistas de empatía en profundidad (cualitativas, 20–30 minutos, con guion abierto orientado a hechos del pasado y no a opiniones del futuro), que buscan entender cómo el atleta entrena, decide y se cuida, sin mencionar Scala hasta el cierre. Por el otro, una encuesta cuantitativa autoadministrada que mide incidencia y permite cuantificar las señales que aparecen en las entrevistas.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504"/>
      </w:tblGrid>
      <w:tr>
        <w:trPr>
          <w:tblHeader/>
        </w:trPr>
        <w:tc>
          <w:tcPr>
            <w:tcW w:type="dxa" w:w="28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Instrumento</w:t>
            </w:r>
          </w:p>
        </w:tc>
        <w:tc>
          <w:tcPr>
            <w:tcW w:type="dxa" w:w="2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Volumen actual</w:t>
            </w:r>
          </w:p>
        </w:tc>
        <w:tc>
          <w:tcPr>
            <w:tcW w:type="dxa" w:w="35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Meta del módulo</w:t>
            </w:r>
          </w:p>
        </w:tc>
      </w:tr>
      <w:tr>
        <w:trPr>
          <w:tblHeader w:val="false"/>
        </w:trPr>
        <w:tc>
          <w:tcPr>
            <w:tcW w:type="dxa" w:w="28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Entrevistas de empatía (B2C)</w:t>
            </w:r>
          </w:p>
        </w:tc>
        <w:tc>
          <w:tcPr>
            <w:tcW w:type="dxa" w:w="2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13 cargadas y limpiadas</w:t>
            </w:r>
          </w:p>
        </w:tc>
        <w:tc>
          <w:tcPr>
            <w:tcW w:type="dxa" w:w="35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15 mínimo (apuntar a 15–18) + 2 influencers (GTM)</w:t>
            </w:r>
          </w:p>
        </w:tc>
      </w:tr>
      <w:tr>
        <w:trPr>
          <w:tblHeader w:val="false"/>
        </w:trPr>
        <w:tc>
          <w:tcPr>
            <w:tcW w:type="dxa" w:w="28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Encuesta cuantitativa</w:t>
            </w:r>
          </w:p>
        </w:tc>
        <w:tc>
          <w:tcPr>
            <w:tcW w:type="dxa" w:w="2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60 respuestas</w:t>
            </w:r>
          </w:p>
        </w:tc>
        <w:tc>
          <w:tcPr>
            <w:tcW w:type="dxa" w:w="35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Complemento, no reemplaza entrevistas</w:t>
            </w:r>
          </w:p>
        </w:tc>
      </w:tr>
    </w:tbl>
    <w:p>
      <w:pPr>
        <w:spacing w:after="160" w:line="360"/>
        <w:jc w:val="both"/>
      </w:pPr>
      <w:r>
        <w:rPr>
          <w:rFonts w:ascii="Arial" w:cs="Arial" w:eastAsia="Arial" w:hAnsi="Arial"/>
          <w:color w:val="000000"/>
          <w:sz w:val="24"/>
          <w:szCs w:val="24"/>
        </w:rPr>
        <w:t xml:space="preserve">Las trece entrevistas fueron conducidas por la dupla (Nico y Benja), grabadas, desgrabadas y normalizadas con una ficha de contexto y notas frente a las hipótesis. La encuesta —“Cómo entrenás y tomás tus decisiones”— recogió 60 respuestas y cubre deporte, frecuencia, uso de wearables, conducta de decisión diaria, gasto, disposición a pagar y apertura a una interfaz conversacional.</w:t>
      </w:r>
    </w:p>
    <w:p>
      <w:pPr>
        <w:pStyle w:val="Heading1"/>
        <w:keepNext/>
        <w:spacing w:after="80" w:before="300" w:line="340"/>
      </w:pPr>
      <w:r>
        <w:rPr>
          <w:rFonts w:ascii="Arial" w:cs="Arial" w:eastAsia="Arial" w:hAnsi="Arial"/>
          <w:b/>
          <w:bCs/>
          <w:color w:val="000000"/>
          <w:sz w:val="28"/>
          <w:szCs w:val="28"/>
        </w:rPr>
        <w:t xml:space="preserve">2. Resultados de la encuesta (n = 60)</w:t>
      </w:r>
    </w:p>
    <w:p>
      <w:pPr>
        <w:keepNext/>
        <w:spacing w:after="80" w:before="100" w:line="300"/>
      </w:pPr>
      <w:r>
        <w:rPr>
          <w:rFonts w:ascii="Arial" w:cs="Arial" w:eastAsia="Arial" w:hAnsi="Arial"/>
          <w:i/>
          <w:iCs/>
          <w:color w:val="000000"/>
          <w:sz w:val="24"/>
          <w:szCs w:val="24"/>
        </w:rPr>
        <w:t xml:space="preserve">Perfil de la muestra</w:t>
      </w:r>
    </w:p>
    <w:p>
      <w:pPr>
        <w:spacing w:after="160" w:line="360"/>
        <w:jc w:val="both"/>
      </w:pPr>
      <w:r>
        <w:rPr>
          <w:rFonts w:ascii="Arial" w:cs="Arial" w:eastAsia="Arial" w:hAnsi="Arial"/>
          <w:color w:val="000000"/>
          <w:sz w:val="24"/>
          <w:szCs w:val="24"/>
        </w:rPr>
        <w:t xml:space="preserve">La muestra se concentra en adultos jóvenes: el 62% tiene entre 25 y 34 años, con presencia menor de 18–24 (13%), 35–44 (12%) y 45 o más (13%). Por género, 35 respondentes son varones (58%) y 25 mujeres (42%) —una proporción de mujeres alta y útil para el sub-segmento de la atleta. Predominan los deportes de fuerza/gimnasio, seguidos por deportes de raqueta, running/ciclismo/triatlón y, en menor medida, escalada y CrossFit. El grupo está comprometido: el 58% entrena 3–4 veces por semana y un 22% adicional entrena 5 o más; el 57% entrena de forma regular desde hace más de tres años.</w:t>
      </w:r>
    </w:p>
    <w:p>
      <w:pPr>
        <w:spacing w:after="40" w:before="60"/>
        <w:jc w:val="center"/>
      </w:pPr>
      <w:r>
        <w:drawing>
          <wp:inline distT="0" distB="0" distL="0" distR="0">
            <wp:extent cx="4953000" cy="2228850"/>
            <wp:effectExtent t="0" r="0" b="0" l="0"/>
            <wp:docPr id="1" name="fig1" descr="Uso de wearable o reloj para entrenar (n=60)." title="Uso de wearable o reloj para entrenar (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28850"/>
                    </a:xfrm>
                    <a:prstGeom prst="rect">
                      <a:avLst/>
                    </a:prstGeom>
                  </pic:spPr>
                </pic:pic>
              </a:graphicData>
            </a:graphic>
          </wp:inline>
        </w:drawing>
      </w:r>
    </w:p>
    <w:p>
      <w:pPr>
        <w:spacing w:after="160" w:line="280"/>
        <w:jc w:val="center"/>
      </w:pPr>
      <w:r>
        <w:rPr>
          <w:rFonts w:ascii="Arial" w:cs="Arial" w:eastAsia="Arial" w:hAnsi="Arial"/>
          <w:i/>
          <w:iCs/>
          <w:color w:val="000000"/>
          <w:sz w:val="20"/>
          <w:szCs w:val="20"/>
        </w:rPr>
        <w:t xml:space="preserve">Figura 1. Uso de wearable o reloj para entrenar (n=60).</w:t>
      </w:r>
    </w:p>
    <w:p>
      <w:pPr>
        <w:keepNext/>
        <w:spacing w:after="80" w:before="100" w:line="300"/>
      </w:pPr>
      <w:r>
        <w:rPr>
          <w:rFonts w:ascii="Arial" w:cs="Arial" w:eastAsia="Arial" w:hAnsi="Arial"/>
          <w:i/>
          <w:iCs/>
          <w:color w:val="000000"/>
          <w:sz w:val="24"/>
          <w:szCs w:val="24"/>
        </w:rPr>
        <w:t xml:space="preserve">Señales sobre el problema y la conducta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804"/>
      </w:tblGrid>
      <w:tr>
        <w:trPr>
          <w:tblHeader/>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Indicador</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Valor</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 de 60</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No usa ningún wearable</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39</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65%</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Usa 0 apps de fitness/salud regularmente</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35</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58%</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Decide el día "según cómo me siento" (selección múltiple)</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36</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60%</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Improvisa, "nada en particular" (selección múltiple)</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20</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33%</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Sigue "lo que dice mi plan"</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15</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25%</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Duda frecuentemente si entrena/come/recupera bien (diaria o semanal)</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30</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50%</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No tiene coach/entrenador/nutricionista hoy (nunca + en el pasado)</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41</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68%</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Gasta US$0 por mes en fitness/salud</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38</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63%</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Gasta algo (&gt;US$0) por mes</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22</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37%</w:t>
            </w:r>
          </w:p>
        </w:tc>
      </w:tr>
    </w:tbl>
    <w:p>
      <w:pPr>
        <w:spacing w:after="40" w:before="60"/>
        <w:jc w:val="center"/>
      </w:pPr>
      <w:r>
        <w:drawing>
          <wp:inline distT="0" distB="0" distL="0" distR="0">
            <wp:extent cx="4953000" cy="3009900"/>
            <wp:effectExtent t="0" r="0" b="0" l="0"/>
            <wp:docPr id="1" name="fig2" descr="Señales de conducta y problema (cantidad de respondentes sobre 60)." title="Señales de conducta y problema (cantidad de respondentes sob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09900"/>
                    </a:xfrm>
                    <a:prstGeom prst="rect">
                      <a:avLst/>
                    </a:prstGeom>
                  </pic:spPr>
                </pic:pic>
              </a:graphicData>
            </a:graphic>
          </wp:inline>
        </w:drawing>
      </w:r>
    </w:p>
    <w:p>
      <w:pPr>
        <w:spacing w:after="160" w:line="280"/>
        <w:jc w:val="center"/>
      </w:pPr>
      <w:r>
        <w:rPr>
          <w:rFonts w:ascii="Arial" w:cs="Arial" w:eastAsia="Arial" w:hAnsi="Arial"/>
          <w:i/>
          <w:iCs/>
          <w:color w:val="000000"/>
          <w:sz w:val="20"/>
          <w:szCs w:val="20"/>
        </w:rPr>
        <w:t xml:space="preserve">Figura 2. Señales de conducta y problema (cantidad de respondentes sobre 60).</w:t>
      </w:r>
    </w:p>
    <w:p>
      <w:pPr>
        <w:spacing w:after="160" w:line="360"/>
        <w:jc w:val="both"/>
      </w:pPr>
      <w:r>
        <w:rPr>
          <w:rFonts w:ascii="Arial" w:cs="Arial" w:eastAsia="Arial" w:hAnsi="Arial"/>
          <w:color w:val="000000"/>
          <w:sz w:val="24"/>
          <w:szCs w:val="24"/>
        </w:rPr>
        <w:t xml:space="preserve">La lectura de estos números matiza la hipótesis original. El dolor dominante no es “tengo demasiados datos y no sé qué hacer con ellos” —porque la mayoría ni siquiera tiene wearable (65%) ni usa apps (58% usa cero)—, sino la ausencia de estructura y de una guía accionable: seis de cada diez deciden por sensación y la mitad duda de forma recurrente sobre si lo está haciendo bien. Entre quienes sí tienen wearable (21 personas), 11 puntúan alto la frase “tengo datos pero no sé bien qué hacer con ellos”, de modo que el problema de datos sin accionar existe, pero es un sub-caso del problema más amplio: falta de asesoramiento personalizado, con o sin dispositivo.</w:t>
      </w:r>
    </w:p>
    <w:p>
      <w:pPr>
        <w:keepNext/>
        <w:spacing w:after="80" w:before="100" w:line="300"/>
      </w:pPr>
      <w:r>
        <w:rPr>
          <w:rFonts w:ascii="Arial" w:cs="Arial" w:eastAsia="Arial" w:hAnsi="Arial"/>
          <w:i/>
          <w:iCs/>
          <w:color w:val="000000"/>
          <w:sz w:val="24"/>
          <w:szCs w:val="24"/>
        </w:rPr>
        <w:t xml:space="preserve">Demanda de solución y disposición a pagar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804"/>
      </w:tblGrid>
      <w:tr>
        <w:trPr>
          <w:tblHeader/>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Indicador</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Valor</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 de 60</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Querría una guía personalizada diaria (puntúa 4–5 de 5)</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37</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62%</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Le resultaría natural gestionar todo conversando por chat/voz</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44</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73%</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Pagaría ~US$10/mes por un coach de IA (Sí)</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22</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37%</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Pagaría ~US$10/mes (Sí + Tal vez)</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43</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72%</w:t>
            </w:r>
          </w:p>
        </w:tc>
      </w:tr>
      <w:tr>
        <w:trPr>
          <w:tblHeader w:val="false"/>
        </w:trPr>
        <w:tc>
          <w:tcPr>
            <w:tcW w:type="dxa" w:w="52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No pagaría US$10/mes</w:t>
            </w:r>
          </w:p>
        </w:tc>
        <w:tc>
          <w:tcPr>
            <w:tcW w:type="dxa" w:w="15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17</w:t>
            </w:r>
          </w:p>
        </w:tc>
        <w:tc>
          <w:tcPr>
            <w:tcW w:type="dxa" w:w="18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28%</w:t>
            </w:r>
          </w:p>
        </w:tc>
      </w:tr>
    </w:tbl>
    <w:p>
      <w:pPr>
        <w:spacing w:after="40" w:before="60"/>
        <w:jc w:val="center"/>
      </w:pPr>
      <w:r>
        <w:drawing>
          <wp:inline distT="0" distB="0" distL="0" distR="0">
            <wp:extent cx="4953000" cy="1933575"/>
            <wp:effectExtent t="0" r="0" b="0" l="0"/>
            <wp:docPr id="1" name="fig3" descr="“Me gustaría una guía personalizada diaria” (escala 1 a 5, n=60)." title="“Me gustaría una guía personalizada diaria” (escala 1 a 5, 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33575"/>
                    </a:xfrm>
                    <a:prstGeom prst="rect">
                      <a:avLst/>
                    </a:prstGeom>
                  </pic:spPr>
                </pic:pic>
              </a:graphicData>
            </a:graphic>
          </wp:inline>
        </w:drawing>
      </w:r>
    </w:p>
    <w:p>
      <w:pPr>
        <w:spacing w:after="160" w:line="280"/>
        <w:jc w:val="center"/>
      </w:pPr>
      <w:r>
        <w:rPr>
          <w:rFonts w:ascii="Arial" w:cs="Arial" w:eastAsia="Arial" w:hAnsi="Arial"/>
          <w:i/>
          <w:iCs/>
          <w:color w:val="000000"/>
          <w:sz w:val="20"/>
          <w:szCs w:val="20"/>
        </w:rPr>
        <w:t xml:space="preserve">Figura 3. “Me gustaría una guía personalizada diaria” (escala 1 a 5, n=60).</w:t>
      </w:r>
    </w:p>
    <w:p>
      <w:pPr>
        <w:spacing w:after="40" w:before="60"/>
        <w:jc w:val="center"/>
      </w:pPr>
      <w:r>
        <w:drawing>
          <wp:inline distT="0" distB="0" distL="0" distR="0">
            <wp:extent cx="4953000" cy="1933575"/>
            <wp:effectExtent t="0" r="0" b="0" l="0"/>
            <wp:docPr id="1" name="fig4" descr="“¿Te resultaría natural gestionar todo conversando por chat o voz?” (n=60)." title="“¿Te resultaría natural gestionar todo conversando por chat o voz?” (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33575"/>
                    </a:xfrm>
                    <a:prstGeom prst="rect">
                      <a:avLst/>
                    </a:prstGeom>
                  </pic:spPr>
                </pic:pic>
              </a:graphicData>
            </a:graphic>
          </wp:inline>
        </w:drawing>
      </w:r>
    </w:p>
    <w:p>
      <w:pPr>
        <w:spacing w:after="160" w:line="280"/>
        <w:jc w:val="center"/>
      </w:pPr>
      <w:r>
        <w:rPr>
          <w:rFonts w:ascii="Arial" w:cs="Arial" w:eastAsia="Arial" w:hAnsi="Arial"/>
          <w:i/>
          <w:iCs/>
          <w:color w:val="000000"/>
          <w:sz w:val="20"/>
          <w:szCs w:val="20"/>
        </w:rPr>
        <w:t xml:space="preserve">Figura 4. “¿Te resultaría natural gestionar todo conversando por chat o voz?” (n=60).</w:t>
      </w:r>
    </w:p>
    <w:p>
      <w:pPr>
        <w:spacing w:after="40" w:before="60"/>
        <w:jc w:val="center"/>
      </w:pPr>
      <w:r>
        <w:drawing>
          <wp:inline distT="0" distB="0" distL="0" distR="0">
            <wp:extent cx="4953000" cy="1943100"/>
            <wp:effectExtent t="0" r="0" b="0" l="0"/>
            <wp:docPr id="1" name="fig5" descr="Disposición a pagar ~US$10/mes por un coach de IA (n=60)." title="Disposición a pagar ~US$10/mes por un coach de IA (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43100"/>
                    </a:xfrm>
                    <a:prstGeom prst="rect">
                      <a:avLst/>
                    </a:prstGeom>
                  </pic:spPr>
                </pic:pic>
              </a:graphicData>
            </a:graphic>
          </wp:inline>
        </w:drawing>
      </w:r>
    </w:p>
    <w:p>
      <w:pPr>
        <w:spacing w:after="160" w:line="280"/>
        <w:jc w:val="center"/>
      </w:pPr>
      <w:r>
        <w:rPr>
          <w:rFonts w:ascii="Arial" w:cs="Arial" w:eastAsia="Arial" w:hAnsi="Arial"/>
          <w:i/>
          <w:iCs/>
          <w:color w:val="000000"/>
          <w:sz w:val="20"/>
          <w:szCs w:val="20"/>
        </w:rPr>
        <w:t xml:space="preserve">Figura 5. Disposición a pagar ~US$10/mes por un coach de IA (n=60).</w:t>
      </w:r>
    </w:p>
    <w:p>
      <w:pPr>
        <w:spacing w:after="160" w:line="360"/>
        <w:jc w:val="both"/>
      </w:pPr>
      <w:r>
        <w:rPr>
          <w:rFonts w:ascii="Arial" w:cs="Arial" w:eastAsia="Arial" w:hAnsi="Arial"/>
          <w:b w:val="false"/>
          <w:bCs w:val="false"/>
          <w:i w:val="false"/>
          <w:iCs w:val="false"/>
          <w:color w:val="000000"/>
          <w:sz w:val="24"/>
          <w:szCs w:val="24"/>
        </w:rPr>
        <w:t xml:space="preserve">Hay apetito por la propuesta: el 62% desea explícitamente una guía personalizada diaria y el 73% encuentra natural gestionarla conversando, lo que respalda la apuesta por la interfaz conversacional. La disposición a pagar es prometedora pero debe leerse con cautela: 37% pagaría directamente y un 35% adicional “tal vez”, mientras que el 28% no pagaría. Sobre la </w:t>
      </w:r>
      <w:r>
        <w:rPr>
          <w:rFonts w:ascii="Arial" w:cs="Arial" w:eastAsia="Arial" w:hAnsi="Arial"/>
          <w:b w:val="false"/>
          <w:bCs w:val="false"/>
          <w:i/>
          <w:iCs/>
          <w:color w:val="000000"/>
          <w:sz w:val="24"/>
          <w:szCs w:val="24"/>
        </w:rPr>
        <w:t xml:space="preserve">señal de product-market fit</w:t>
      </w:r>
      <w:r>
        <w:rPr>
          <w:rFonts w:ascii="Arial" w:cs="Arial" w:eastAsia="Arial" w:hAnsi="Arial"/>
          <w:b w:val="false"/>
          <w:bCs w:val="false"/>
          <w:i w:val="false"/>
          <w:iCs w:val="false"/>
          <w:color w:val="000000"/>
          <w:sz w:val="24"/>
          <w:szCs w:val="24"/>
        </w:rPr>
        <w:t xml:space="preserve"> de Sean Ellis (porcentaje que estaría “muy decepcionado” si su app desapareciera), la encuesta no permite concluir: como el 55% no usa ninguna app, la pregunta solo aplica a 27 personas, de las cuales el 19% se declara muy decepcionada —por debajo del umbral de referencia del 40% y sin base suficiente. Es un indicio de que hoy ninguna app genera dependencia, no una medición de PMF para Scala.</w:t>
      </w:r>
    </w:p>
    <w:p>
      <w:pPr>
        <w:keepNext/>
        <w:spacing w:after="80" w:before="100" w:line="300"/>
      </w:pPr>
      <w:r>
        <w:rPr>
          <w:rFonts w:ascii="Arial" w:cs="Arial" w:eastAsia="Arial" w:hAnsi="Arial"/>
          <w:i/>
          <w:iCs/>
          <w:color w:val="000000"/>
          <w:sz w:val="24"/>
          <w:szCs w:val="24"/>
        </w:rPr>
        <w:t xml:space="preserve">Frustraciones en palabras del usuario (pregunta abierta)</w:t>
      </w:r>
    </w:p>
    <w:p>
      <w:pPr>
        <w:spacing w:after="160" w:line="360"/>
        <w:jc w:val="both"/>
      </w:pPr>
      <w:r>
        <w:rPr>
          <w:rFonts w:ascii="Arial" w:cs="Arial" w:eastAsia="Arial" w:hAnsi="Arial"/>
          <w:color w:val="000000"/>
          <w:sz w:val="24"/>
          <w:szCs w:val="24"/>
        </w:rPr>
        <w:t xml:space="preserve">Entre quienes respondieron la pregunta abierta de frustración, los temas recurrentes fueron: no ver progreso ni tener seguimiento, no contar con un plan concreto, sostener la consistencia y el hábito, la incertidumbre sobre si “lo que hago está bien” o si se va por buen camino, la sobrecarga de información (“marearme con tantas propuestas”), y un bloque nutricional fuerte —saber cuántas calorías se gastan e ingieren, desconfianza de los datos nutricionales, y la fricción de planificar las compras y preparar la comida.</w:t>
      </w:r>
    </w:p>
    <w:p>
      <w:pPr>
        <w:pStyle w:val="Heading1"/>
        <w:keepNext/>
        <w:spacing w:after="80" w:before="300" w:line="340"/>
      </w:pPr>
      <w:r>
        <w:rPr>
          <w:rFonts w:ascii="Arial" w:cs="Arial" w:eastAsia="Arial" w:hAnsi="Arial"/>
          <w:b/>
          <w:bCs/>
          <w:color w:val="000000"/>
          <w:sz w:val="28"/>
          <w:szCs w:val="28"/>
        </w:rPr>
        <w:t xml:space="preserve">3. Resultados de las entrevistas (13 de 15)</w:t>
      </w:r>
    </w:p>
    <w:p>
      <w:pPr>
        <w:spacing w:after="160" w:line="360"/>
        <w:jc w:val="both"/>
      </w:pPr>
      <w:r>
        <w:rPr>
          <w:rFonts w:ascii="Arial" w:cs="Arial" w:eastAsia="Arial" w:hAnsi="Arial"/>
          <w:color w:val="000000"/>
          <w:sz w:val="24"/>
          <w:szCs w:val="24"/>
        </w:rPr>
        <w:t xml:space="preserve">Las trece entrevistas cubren un rango deliberadamente variado de perfiles —de gimnasio, raqueta, natación, fútbol, golf, running/trail y pilates; con y sin wearable (incluye dos power users de datos); seis mujeres y siete varones; con y sin coach— para mapear el segmento antes de profundizar en el target. La tabla siguiente sintetiza cada caso.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2150"/>
        <w:gridCol w:w="2454"/>
        <w:gridCol w:w="2000"/>
      </w:tblGrid>
      <w:tr>
        <w:trPr>
          <w:tblHeader/>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Entrevistado/a</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Perfil</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Conducta clave</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Señal para Scala</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01 · Federico Golberg</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Tenis y gimnasio; Garmin pasivo</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Decide día a día por cansancio; usa el reloj solo para grabar y ver sueño</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Confirma datos sin accionar y wearable opcional; objeción: fatiga de IA (trabaja todo el día con IA)</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02 · Rocío Gil Colombo</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Gimnasio y natación; sin wearable; escoliosis</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Entrena guiada por kinesiólogo; intensidad por dolor y reps en reserva</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Alto valor del coach humano (seguridad, técnica); diría temas del ciclo a una app, no a un entrenador</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03 · Nicolás Mackinnon</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Gimnasio, tenis, golf; sin wearable</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Rutina fija; regula volumen por lesiones (codo, rodilla)</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Le entusiasma la idea para revisar y mejorar lo que ya hace; sin desconfianza</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04 · Paz Colombo</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Natación y fuerza; sin wearable; "vieja escuela"</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Estructura del profesor + ganas del día; busca constancia, no competir</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Valida wearable opcional y app sin sobrecarga; el ciclo se lo contaría a una app por privacidad</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05 · Santos Mackinnon</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Fútbol, gimnasio, golf; probó anillo Oura</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Abandonó el anillo por mala app, no por el hardware; quiere wellness integral</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Quiere "un pibe que sepa de todo"; pagaría solo tras probar gratis y ver valor</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06 · Anita Gil</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Caminatas, running, tenis; intuitiva</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Se autoabastece con lecturas; entrena básico, quiere exigirse más</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Demanda aval profesional/médico; rechaza el estilo influencer sin sustento</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07 · Tobías Polacek</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Gimnasio y fútbol; DIY; rechaza wearable</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Arma sus rutinas leyendo; decide intensidad por fatiga</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Solo pagaría si la app le enseña o le avisa (p. ej. anticipar una lesión por mala nutrición)</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08 · Matías Tahta</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Running/trail (El Cruce, Maratón BA); gimnasio 1x/sem; Garmin Fénix 5</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Decide por sensación + sueño + estrés; mira HR y ritmo pero no cruza los datos entre sí</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Tiene wearable y sí acciona sueño, pero pide que la IA cruce/traduzca datos (ej. performance por calzado); pagaría por plan tailor + análisis profundo</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09 · Hernán de la Cárcova</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Running (8 maratones), tenis, gimnasio, deportes de agua; Garmin Instinct + ex Oura</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Power user de datos (HRV, sueño, recuperación); sube capturas de pantalla a un chat de IA para analizar e integrar su histórico</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Candidato a beta tester; valida la fricción de integración manual de datos como el pain central y la visión multi-dispositivo</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10 · Maitena Galíndez</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Gimnasio/fuerza y yoga (hoy inactiva); sin wearable; ciclo muy relevante</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Decide por sensación y ciclo (“cien por ciento cambia” mi energía); valora el vínculo humano y la comunidad del gimnasio</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Valida fuerte el sub-segmento ciclo; NO reemplazaría el coach humano pero sí usaría la IA como capa de organización (entrenamiento + comidas + recordatorios)</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11 · Graciela Bopolo</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Gimnasio (fuerza) 4x/sem con entrenadora; sin wearable propio (lo lleva la profesora)</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Delega todo el orden a la entrenadora; “nunca tengo ganas” pero entrena por autoexigencia y por estar pagando</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Pide simplicidad radical (alimentos accesibles, sin tecnicismos) y parámetros razonables sin mediciones invasivas (%grasa); desconfía de exigencias poco realistas</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12 · Tomas Giampaoletti</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Running + gimnasio; entrenador híbrido y nutricionista hace 1 mes; sumó club de running</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Buscó un entrenador para unificar running y gimnasio de forma coherente; plan con períodos de carga y descarga</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Pide que la app se adelante a las decisiones (no solo reaccionar) y no sume carga cognitiva; ya usa IA para ordenar comida y métricas</w:t>
            </w:r>
          </w:p>
        </w:tc>
      </w:tr>
      <w:tr>
        <w:trPr>
          <w:tblHeader w:val="false"/>
        </w:trPr>
        <w:tc>
          <w:tcPr>
            <w:tcW w:type="dxa" w:w="1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13 · Amparo Atalah</w:t>
            </w:r>
          </w:p>
        </w:tc>
        <w:tc>
          <w:tcPr>
            <w:tcW w:type="dxa" w:w="215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Pilates (clases grupales) y fútbol; sin wearable; sin plan propio</w:t>
            </w:r>
          </w:p>
        </w:tc>
        <w:tc>
          <w:tcPr>
            <w:tcW w:type="dxa" w:w="245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Delega 100% a la clase; decide intensidad según la energía del día; no tiene seguimiento de progreso</w:t>
            </w:r>
          </w:p>
        </w:tc>
        <w:tc>
          <w:tcPr>
            <w:tcW w:type="dxa" w:w="20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Pediría que la app le diga qué comer y cómo entrenar para llegar al objetivo; desconfiaría si no es “profesional” o solo repite lo que ella carga</w:t>
            </w:r>
          </w:p>
        </w:tc>
      </w:tr>
    </w:tbl>
    <w:p>
      <w:pPr>
        <w:pStyle w:val="Heading1"/>
        <w:keepNext/>
        <w:spacing w:after="80" w:before="300" w:line="340"/>
      </w:pPr>
      <w:r>
        <w:rPr>
          <w:rFonts w:ascii="Arial" w:cs="Arial" w:eastAsia="Arial" w:hAnsi="Arial"/>
          <w:b/>
          <w:bCs/>
          <w:color w:val="000000"/>
          <w:sz w:val="28"/>
          <w:szCs w:val="28"/>
        </w:rPr>
        <w:t xml:space="preserve">4. Validación provisoria de las hipótesis</w:t>
      </w:r>
    </w:p>
    <w:p>
      <w:pPr>
        <w:spacing w:after="160" w:line="360"/>
        <w:jc w:val="both"/>
      </w:pPr>
      <w:r>
        <w:rPr>
          <w:rFonts w:ascii="Arial" w:cs="Arial" w:eastAsia="Arial" w:hAnsi="Arial"/>
          <w:color w:val="000000"/>
          <w:sz w:val="24"/>
          <w:szCs w:val="24"/>
        </w:rPr>
        <w:t xml:space="preserve">Cruzando ambas fuentes, el estado de las seis hipótesis de partida es el siguiente.</w:t>
      </w:r>
    </w:p>
    <w:tbl>
      <w:tblPr>
        <w:tblW w:type="dxa" w:w="8204"/>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304"/>
        <w:gridCol w:w="2700"/>
      </w:tblGrid>
      <w:tr>
        <w:trPr>
          <w:tblHeader/>
        </w:trPr>
        <w:tc>
          <w:tcPr>
            <w:tcW w:type="dxa" w:w="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w:t>
            </w:r>
          </w:p>
        </w:tc>
        <w:tc>
          <w:tcPr>
            <w:tcW w:type="dxa" w:w="33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Hipótesis</w:t>
            </w:r>
          </w:p>
        </w:tc>
        <w:tc>
          <w:tcPr>
            <w:tcW w:type="dxa" w:w="13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Estado</w:t>
            </w:r>
          </w:p>
        </w:tc>
        <w:tc>
          <w:tcPr>
            <w:tcW w:type="dxa" w:w="27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bCs/>
                <w:color w:val="000000"/>
                <w:sz w:val="21"/>
                <w:szCs w:val="21"/>
              </w:rPr>
              <w:t xml:space="preserve">Lectura provisoria</w:t>
            </w:r>
          </w:p>
        </w:tc>
      </w:tr>
      <w:tr>
        <w:trPr>
          <w:tblHeader w:val="false"/>
        </w:trPr>
        <w:tc>
          <w:tcPr>
            <w:tcW w:type="dxa" w:w="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H1</w:t>
            </w:r>
          </w:p>
        </w:tc>
        <w:tc>
          <w:tcPr>
            <w:tcW w:type="dxa" w:w="33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Tiene datos pero no sabe accionarlos</w:t>
            </w:r>
          </w:p>
        </w:tc>
        <w:tc>
          <w:tcPr>
            <w:tcW w:type="dxa" w:w="13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Matizada</w:t>
            </w:r>
          </w:p>
        </w:tc>
        <w:tc>
          <w:tcPr>
            <w:tcW w:type="dxa" w:w="27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Cierto entre usuarios de wearable, pero la mayoría no tiene datos: el problema real es falta de guía accionable, con o sin dispositivo</w:t>
            </w:r>
          </w:p>
        </w:tc>
      </w:tr>
      <w:tr>
        <w:trPr>
          <w:tblHeader w:val="false"/>
        </w:trPr>
        <w:tc>
          <w:tcPr>
            <w:tcW w:type="dxa" w:w="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H2</w:t>
            </w:r>
          </w:p>
        </w:tc>
        <w:tc>
          <w:tcPr>
            <w:tcW w:type="dxa" w:w="33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Resuelve con apps fragmentadas + coach humano</w:t>
            </w:r>
          </w:p>
        </w:tc>
        <w:tc>
          <w:tcPr>
            <w:tcW w:type="dxa" w:w="13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Ajustada</w:t>
            </w:r>
          </w:p>
        </w:tc>
        <w:tc>
          <w:tcPr>
            <w:tcW w:type="dxa" w:w="27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La estructura llega del coach humano o de la autogestión; las apps casi no aparecen (58% usa cero)</w:t>
            </w:r>
          </w:p>
        </w:tc>
      </w:tr>
      <w:tr>
        <w:trPr>
          <w:tblHeader w:val="false"/>
        </w:trPr>
        <w:tc>
          <w:tcPr>
            <w:tcW w:type="dxa" w:w="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H3</w:t>
            </w:r>
          </w:p>
        </w:tc>
        <w:tc>
          <w:tcPr>
            <w:tcW w:type="dxa" w:w="33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Es un problema frecuente (decisiones diarias)</w:t>
            </w:r>
          </w:p>
        </w:tc>
        <w:tc>
          <w:tcPr>
            <w:tcW w:type="dxa" w:w="13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Validada</w:t>
            </w:r>
          </w:p>
        </w:tc>
        <w:tc>
          <w:tcPr>
            <w:tcW w:type="dxa" w:w="27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60% decide por sensación; 50% duda de forma recurrente; las entrevistas lo confirman</w:t>
            </w:r>
          </w:p>
        </w:tc>
      </w:tr>
      <w:tr>
        <w:trPr>
          <w:tblHeader w:val="false"/>
        </w:trPr>
        <w:tc>
          <w:tcPr>
            <w:tcW w:type="dxa" w:w="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H4</w:t>
            </w:r>
          </w:p>
        </w:tc>
        <w:tc>
          <w:tcPr>
            <w:tcW w:type="dxa" w:w="33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Hay disposición a pagar por personalización</w:t>
            </w:r>
          </w:p>
        </w:tc>
        <w:tc>
          <w:tcPr>
            <w:tcW w:type="dxa" w:w="13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Parcial</w:t>
            </w:r>
          </w:p>
        </w:tc>
        <w:tc>
          <w:tcPr>
            <w:tcW w:type="dxa" w:w="27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72% pagaría o tal vez; pero 63% gasta US$0 hoy y el pago se ata a probar y ver valor</w:t>
            </w:r>
          </w:p>
        </w:tc>
      </w:tr>
      <w:tr>
        <w:trPr>
          <w:tblHeader w:val="false"/>
        </w:trPr>
        <w:tc>
          <w:tcPr>
            <w:tcW w:type="dxa" w:w="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H5</w:t>
            </w:r>
          </w:p>
        </w:tc>
        <w:tc>
          <w:tcPr>
            <w:tcW w:type="dxa" w:w="33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El wearable es opcional</w:t>
            </w:r>
          </w:p>
        </w:tc>
        <w:tc>
          <w:tcPr>
            <w:tcW w:type="dxa" w:w="13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Validada (fuerte)</w:t>
            </w:r>
          </w:p>
        </w:tc>
        <w:tc>
          <w:tcPr>
            <w:tcW w:type="dxa" w:w="27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65% no usa wearable; la mayoría de los entrevistados tampoco; el producto debe funcionar sin reloj</w:t>
            </w:r>
          </w:p>
        </w:tc>
      </w:tr>
      <w:tr>
        <w:trPr>
          <w:tblHeader w:val="false"/>
        </w:trPr>
        <w:tc>
          <w:tcPr>
            <w:tcW w:type="dxa" w:w="9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H6</w:t>
            </w:r>
          </w:p>
        </w:tc>
        <w:tc>
          <w:tcPr>
            <w:tcW w:type="dxa" w:w="33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La conversación sería la forma natural de gestionar todo</w:t>
            </w:r>
          </w:p>
        </w:tc>
        <w:tc>
          <w:tcPr>
            <w:tcW w:type="dxa" w:w="1304"/>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Validada</w:t>
            </w:r>
          </w:p>
        </w:tc>
        <w:tc>
          <w:tcPr>
            <w:tcW w:type="dxa" w:w="2700"/>
            <w:tcBorders>
              <w:top w:val="single" w:color="888888" w:sz="1"/>
              <w:left w:val="single" w:color="888888" w:sz="1"/>
              <w:bottom w:val="single" w:color="888888" w:sz="1"/>
              <w:right w:val="single" w:color="888888" w:sz="1"/>
            </w:tcBorders>
            <w:tcMar>
              <w:top w:type="dxa" w:w="60"/>
              <w:left w:type="dxa" w:w="110"/>
              <w:bottom w:type="dxa" w:w="60"/>
              <w:right w:type="dxa" w:w="110"/>
            </w:tcMar>
          </w:tcPr>
          <w:p>
            <w:pPr>
              <w:spacing w:after="0" w:line="280"/>
            </w:pPr>
            <w:r>
              <w:rPr>
                <w:rFonts w:ascii="Arial" w:cs="Arial" w:eastAsia="Arial" w:hAnsi="Arial"/>
                <w:b w:val="false"/>
                <w:bCs w:val="false"/>
                <w:color w:val="000000"/>
                <w:sz w:val="21"/>
                <w:szCs w:val="21"/>
              </w:rPr>
              <w:t xml:space="preserve">73% lo ve natural; objeciones: fatiga de IA, sesgo de "decir lo que querés oír" y falta de aval</w:t>
            </w:r>
          </w:p>
        </w:tc>
      </w:tr>
    </w:tbl>
    <w:p>
      <w:pPr>
        <w:pStyle w:val="Heading1"/>
        <w:keepNext/>
        <w:spacing w:after="80" w:before="300" w:line="340"/>
      </w:pPr>
      <w:r>
        <w:rPr>
          <w:rFonts w:ascii="Arial" w:cs="Arial" w:eastAsia="Arial" w:hAnsi="Arial"/>
          <w:b/>
          <w:bCs/>
          <w:color w:val="000000"/>
          <w:sz w:val="28"/>
          <w:szCs w:val="28"/>
        </w:rPr>
        <w:t xml:space="preserve">5. Insights provisorios</w:t>
      </w:r>
    </w:p>
    <w:p>
      <w:pPr>
        <w:pStyle w:val="ListParagraph"/>
        <w:numPr>
          <w:ilvl w:val="0"/>
          <w:numId w:val="2"/>
        </w:numPr>
        <w:spacing w:after="100" w:line="340"/>
        <w:jc w:val="both"/>
      </w:pPr>
      <w:r>
        <w:rPr>
          <w:rFonts w:ascii="Arial" w:cs="Arial" w:eastAsia="Arial" w:hAnsi="Arial"/>
          <w:b/>
          <w:bCs/>
          <w:i w:val="false"/>
          <w:iCs w:val="false"/>
          <w:color w:val="000000"/>
          <w:sz w:val="24"/>
          <w:szCs w:val="24"/>
        </w:rPr>
        <w:t xml:space="preserve">De "datos sin accionar" a "falta de guía". </w:t>
      </w:r>
      <w:r>
        <w:rPr>
          <w:rFonts w:ascii="Arial" w:cs="Arial" w:eastAsia="Arial" w:hAnsi="Arial"/>
          <w:b w:val="false"/>
          <w:bCs w:val="false"/>
          <w:i w:val="false"/>
          <w:iCs w:val="false"/>
          <w:color w:val="000000"/>
          <w:sz w:val="24"/>
          <w:szCs w:val="24"/>
        </w:rPr>
        <w:t xml:space="preserve">El encuadre del problema debe ampliarse: el dolor central es la ausencia de una guía personalizada y accionable, no el exceso de datos. Esto agranda el mercado (incluye a quienes no tienen wearable) y refuerza que el dispositivo sea opcional.</w:t>
      </w:r>
    </w:p>
    <w:p>
      <w:pPr>
        <w:pStyle w:val="ListParagraph"/>
        <w:numPr>
          <w:ilvl w:val="0"/>
          <w:numId w:val="2"/>
        </w:numPr>
        <w:spacing w:after="100" w:line="340"/>
        <w:jc w:val="both"/>
      </w:pPr>
      <w:r>
        <w:rPr>
          <w:rFonts w:ascii="Arial" w:cs="Arial" w:eastAsia="Arial" w:hAnsi="Arial"/>
          <w:b/>
          <w:bCs/>
          <w:i w:val="false"/>
          <w:iCs w:val="false"/>
          <w:color w:val="000000"/>
          <w:sz w:val="24"/>
          <w:szCs w:val="24"/>
        </w:rPr>
        <w:t xml:space="preserve">El coach humano es la vara, y es inaccesible o intermitente. </w:t>
      </w:r>
      <w:r>
        <w:rPr>
          <w:rFonts w:ascii="Arial" w:cs="Arial" w:eastAsia="Arial" w:hAnsi="Arial"/>
          <w:b w:val="false"/>
          <w:bCs w:val="false"/>
          <w:i w:val="false"/>
          <w:iCs w:val="false"/>
          <w:color w:val="000000"/>
          <w:sz w:val="24"/>
          <w:szCs w:val="24"/>
        </w:rPr>
        <w:t xml:space="preserve">Quien tiene estructura la consigue de un entrenador (Rocío, Paz) o se la autoarma (Tobías, Santos, Nicolás). Scala compite contra "un humano que te mira" en lo técnico y de alto rendimiento, pero gana en disponibilidad diaria, costo y continuidad.</w:t>
      </w:r>
    </w:p>
    <w:p>
      <w:pPr>
        <w:pStyle w:val="ListParagraph"/>
        <w:numPr>
          <w:ilvl w:val="0"/>
          <w:numId w:val="2"/>
        </w:numPr>
        <w:spacing w:after="100" w:line="340"/>
        <w:jc w:val="both"/>
      </w:pPr>
      <w:r>
        <w:rPr>
          <w:rFonts w:ascii="Arial" w:cs="Arial" w:eastAsia="Arial" w:hAnsi="Arial"/>
          <w:b/>
          <w:bCs/>
          <w:i w:val="false"/>
          <w:iCs w:val="false"/>
          <w:color w:val="000000"/>
          <w:sz w:val="24"/>
          <w:szCs w:val="24"/>
        </w:rPr>
        <w:t xml:space="preserve">La interfaz conversacional desbloquea un beneficio íntimo. </w:t>
      </w:r>
      <w:r>
        <w:rPr>
          <w:rFonts w:ascii="Arial" w:cs="Arial" w:eastAsia="Arial" w:hAnsi="Arial"/>
          <w:b w:val="false"/>
          <w:bCs w:val="false"/>
          <w:i w:val="false"/>
          <w:iCs w:val="false"/>
          <w:color w:val="000000"/>
          <w:sz w:val="24"/>
          <w:szCs w:val="24"/>
        </w:rPr>
        <w:t xml:space="preserve">Dos mujeres dijeron, sin que se les preguntara, que contarían temas del ciclo menstrual a una app pero no a su entrenador. Es una ventaja diferencial concreta para el sub-segmento de la atleta y para la privacidad en general.</w:t>
      </w:r>
    </w:p>
    <w:p>
      <w:pPr>
        <w:pStyle w:val="ListParagraph"/>
        <w:numPr>
          <w:ilvl w:val="0"/>
          <w:numId w:val="2"/>
        </w:numPr>
        <w:spacing w:after="100" w:line="340"/>
        <w:jc w:val="both"/>
      </w:pPr>
      <w:r>
        <w:rPr>
          <w:rFonts w:ascii="Arial" w:cs="Arial" w:eastAsia="Arial" w:hAnsi="Arial"/>
          <w:b/>
          <w:bCs/>
          <w:i w:val="false"/>
          <w:iCs w:val="false"/>
          <w:color w:val="000000"/>
          <w:sz w:val="24"/>
          <w:szCs w:val="24"/>
        </w:rPr>
        <w:t xml:space="preserve">La confianza es la principal barrera de adopción. </w:t>
      </w:r>
      <w:r>
        <w:rPr>
          <w:rFonts w:ascii="Arial" w:cs="Arial" w:eastAsia="Arial" w:hAnsi="Arial"/>
          <w:b w:val="false"/>
          <w:bCs w:val="false"/>
          <w:i w:val="false"/>
          <w:iCs w:val="false"/>
          <w:color w:val="000000"/>
          <w:sz w:val="24"/>
          <w:szCs w:val="24"/>
        </w:rPr>
        <w:t xml:space="preserve">Aparecen tres objeciones repetidas: fatiga de IA (Federico), el sesgo de complacencia de los modelos (Santos) y la falta de aval profesional/médico (Anita). El producto necesita señales de rigor y fuentes de autoridad.</w:t>
      </w:r>
    </w:p>
    <w:p>
      <w:pPr>
        <w:pStyle w:val="ListParagraph"/>
        <w:numPr>
          <w:ilvl w:val="0"/>
          <w:numId w:val="2"/>
        </w:numPr>
        <w:spacing w:after="100" w:line="340"/>
        <w:jc w:val="both"/>
      </w:pPr>
      <w:r>
        <w:rPr>
          <w:rFonts w:ascii="Arial" w:cs="Arial" w:eastAsia="Arial" w:hAnsi="Arial"/>
          <w:b/>
          <w:bCs/>
          <w:i w:val="false"/>
          <w:iCs w:val="false"/>
          <w:color w:val="000000"/>
          <w:sz w:val="24"/>
          <w:szCs w:val="24"/>
        </w:rPr>
        <w:t xml:space="preserve">El pago es post-prueba, no de entrada. </w:t>
      </w:r>
      <w:r>
        <w:rPr>
          <w:rFonts w:ascii="Arial" w:cs="Arial" w:eastAsia="Arial" w:hAnsi="Arial"/>
          <w:b w:val="false"/>
          <w:bCs w:val="false"/>
          <w:i w:val="false"/>
          <w:iCs w:val="false"/>
          <w:color w:val="000000"/>
          <w:sz w:val="24"/>
          <w:szCs w:val="24"/>
        </w:rPr>
        <w:t xml:space="preserve">El patrón es "lo pruebo gratis y, si me sirve, pago". La conversión depende de demostrar valor temprano (un plan útil, una alerta que previene una lesión, ver progreso), no de cobrar por adelantado.</w:t>
      </w:r>
    </w:p>
    <w:p>
      <w:pPr>
        <w:pStyle w:val="ListParagraph"/>
        <w:numPr>
          <w:ilvl w:val="0"/>
          <w:numId w:val="2"/>
        </w:numPr>
        <w:spacing w:after="100" w:line="340"/>
        <w:jc w:val="both"/>
      </w:pPr>
      <w:r>
        <w:rPr>
          <w:rFonts w:ascii="Arial" w:cs="Arial" w:eastAsia="Arial" w:hAnsi="Arial"/>
          <w:b/>
          <w:bCs/>
          <w:i w:val="false"/>
          <w:iCs w:val="false"/>
          <w:color w:val="000000"/>
          <w:sz w:val="24"/>
          <w:szCs w:val="24"/>
        </w:rPr>
        <w:t xml:space="preserve">El bienestar integral y la educación son ganchos. </w:t>
      </w:r>
      <w:r>
        <w:rPr>
          <w:rFonts w:ascii="Arial" w:cs="Arial" w:eastAsia="Arial" w:hAnsi="Arial"/>
          <w:b w:val="false"/>
          <w:bCs w:val="false"/>
          <w:i w:val="false"/>
          <w:iCs w:val="false"/>
          <w:color w:val="000000"/>
          <w:sz w:val="24"/>
          <w:szCs w:val="24"/>
        </w:rPr>
        <w:t xml:space="preserve">Varios piden que entrenamiento, nutrición, recuperación y hasta meditación estén conectados y explicados ("que me enseñe el porqué, pero simple"). Coincide con la tesis de coach agéntico que acciona, más que dashboard que informa.</w:t>
      </w:r>
    </w:p>
    <w:p>
      <w:pPr>
        <w:pStyle w:val="ListParagraph"/>
        <w:numPr>
          <w:ilvl w:val="0"/>
          <w:numId w:val="2"/>
        </w:numPr>
        <w:spacing w:after="100" w:line="340"/>
        <w:jc w:val="both"/>
      </w:pPr>
      <w:r>
        <w:rPr>
          <w:rFonts w:ascii="Arial" w:cs="Arial" w:eastAsia="Arial" w:hAnsi="Arial"/>
          <w:b/>
          <w:bCs/>
          <w:i w:val="false"/>
          <w:iCs w:val="false"/>
          <w:color w:val="000000"/>
          <w:sz w:val="24"/>
          <w:szCs w:val="24"/>
        </w:rPr>
        <w:t xml:space="preserve">La fricción real no es la falta de datos, es integrarlos. </w:t>
      </w:r>
      <w:r>
        <w:rPr>
          <w:rFonts w:ascii="Arial" w:cs="Arial" w:eastAsia="Arial" w:hAnsi="Arial"/>
          <w:b w:val="false"/>
          <w:bCs w:val="false"/>
          <w:i w:val="false"/>
          <w:iCs w:val="false"/>
          <w:color w:val="000000"/>
          <w:sz w:val="24"/>
          <w:szCs w:val="24"/>
        </w:rPr>
        <w:t xml:space="preserve">Los dos usuarios más avanzados en wearables (Matías, Hernán) ya tienen los datos pero deben cruzarlos manualmente o subir capturas de pantalla a un chat de IA para interpretarlos. El valor de Scala está en resolver esa integración automáticamente, no en agregar otro dashboard.</w:t>
      </w:r>
    </w:p>
    <w:p>
      <w:pPr>
        <w:pStyle w:val="ListParagraph"/>
        <w:numPr>
          <w:ilvl w:val="0"/>
          <w:numId w:val="2"/>
        </w:numPr>
        <w:spacing w:after="100" w:line="340"/>
        <w:jc w:val="both"/>
      </w:pPr>
      <w:r>
        <w:rPr>
          <w:rFonts w:ascii="Arial" w:cs="Arial" w:eastAsia="Arial" w:hAnsi="Arial"/>
          <w:b/>
          <w:bCs/>
          <w:i w:val="false"/>
          <w:iCs w:val="false"/>
          <w:color w:val="000000"/>
          <w:sz w:val="24"/>
          <w:szCs w:val="24"/>
        </w:rPr>
        <w:t xml:space="preserve">Para parte del segmento, la IA debe organizar sin reemplazar el vínculo humano. </w:t>
      </w:r>
      <w:r>
        <w:rPr>
          <w:rFonts w:ascii="Arial" w:cs="Arial" w:eastAsia="Arial" w:hAnsi="Arial"/>
          <w:b w:val="false"/>
          <w:bCs w:val="false"/>
          <w:i w:val="false"/>
          <w:iCs w:val="false"/>
          <w:color w:val="000000"/>
          <w:sz w:val="24"/>
          <w:szCs w:val="24"/>
        </w:rPr>
        <w:t xml:space="preserve">Maitena valora el gimnasio como desconexión y el vínculo con su coach (nombre, charla, comunidad) y no reemplazaría eso por una IA; pero sí usaría una capa de organización (agenda, comidas, recordatorios, lista de compras) que hoy nadie le resuelve. Reposiciona a Scala como orquestador del "macro", no siempre como sustituto del coach.</w:t>
      </w:r>
    </w:p>
    <w:p>
      <w:pPr>
        <w:pStyle w:val="Heading1"/>
        <w:keepNext/>
        <w:spacing w:after="80" w:before="300" w:line="340"/>
      </w:pPr>
      <w:r>
        <w:rPr>
          <w:rFonts w:ascii="Arial" w:cs="Arial" w:eastAsia="Arial" w:hAnsi="Arial"/>
          <w:b/>
          <w:bCs/>
          <w:color w:val="000000"/>
          <w:sz w:val="28"/>
          <w:szCs w:val="28"/>
        </w:rPr>
        <w:t xml:space="preserve">6. Pendientes para cerrar la entrega del módulo</w:t>
      </w:r>
    </w:p>
    <w:p>
      <w:pPr>
        <w:pStyle w:val="ListParagraph"/>
        <w:numPr>
          <w:ilvl w:val="0"/>
          <w:numId w:val="2"/>
        </w:numPr>
        <w:spacing w:after="100" w:line="340"/>
        <w:jc w:val="both"/>
      </w:pPr>
      <w:r>
        <w:rPr>
          <w:rFonts w:ascii="Arial" w:cs="Arial" w:eastAsia="Arial" w:hAnsi="Arial"/>
          <w:color w:val="000000"/>
          <w:sz w:val="24"/>
          <w:szCs w:val="24"/>
        </w:rPr>
        <w:t xml:space="preserve">Completar al menos 2 entrevistas adicionales hasta llegar a 15 B2C, cuidando las cuotas (perfiles ya bien cubiertos en running/ciclismo y fuerza/gimnasio; sumar 2–3 usuarios reales de Scala) y sumar las 2 entrevistas a influencers (GTM).</w:t>
      </w:r>
    </w:p>
    <w:p>
      <w:pPr>
        <w:pStyle w:val="ListParagraph"/>
        <w:numPr>
          <w:ilvl w:val="0"/>
          <w:numId w:val="2"/>
        </w:numPr>
        <w:spacing w:after="100" w:line="340"/>
        <w:jc w:val="both"/>
      </w:pPr>
      <w:r>
        <w:rPr>
          <w:rFonts w:ascii="Arial" w:cs="Arial" w:eastAsia="Arial" w:hAnsi="Arial"/>
          <w:color w:val="000000"/>
          <w:sz w:val="24"/>
          <w:szCs w:val="24"/>
        </w:rPr>
        <w:t xml:space="preserve">Construir el mapa de empatía del target con citas textuales de las entrevistas y el customer journey map del atleta con el problema.</w:t>
      </w:r>
    </w:p>
    <w:p>
      <w:pPr>
        <w:pStyle w:val="ListParagraph"/>
        <w:numPr>
          <w:ilvl w:val="0"/>
          <w:numId w:val="2"/>
        </w:numPr>
        <w:spacing w:after="100" w:line="340"/>
        <w:jc w:val="both"/>
      </w:pPr>
      <w:r>
        <w:rPr>
          <w:rFonts w:ascii="Arial" w:cs="Arial" w:eastAsia="Arial" w:hAnsi="Arial"/>
          <w:color w:val="000000"/>
          <w:sz w:val="24"/>
          <w:szCs w:val="24"/>
        </w:rPr>
        <w:t xml:space="preserve">Cerrar el perfil y el arquetipo finales ("Martín") ajustando la versión intuitiva v1 con los hallazgos, y reformular la necesidad hacia "falta de guía accionable".</w:t>
      </w:r>
    </w:p>
    <w:p>
      <w:pPr>
        <w:pStyle w:val="ListParagraph"/>
        <w:numPr>
          <w:ilvl w:val="0"/>
          <w:numId w:val="2"/>
        </w:numPr>
        <w:spacing w:after="100" w:line="340"/>
        <w:jc w:val="both"/>
      </w:pPr>
      <w:r>
        <w:rPr>
          <w:rFonts w:ascii="Arial" w:cs="Arial" w:eastAsia="Arial" w:hAnsi="Arial"/>
          <w:color w:val="000000"/>
          <w:sz w:val="24"/>
          <w:szCs w:val="24"/>
        </w:rPr>
        <w:t xml:space="preserve">Incorporar el comparativo con los usuarios reales de Scala (perfil agregado de la base, con resguardo de privacidad).</w:t>
      </w:r>
    </w:p>
    <w:p>
      <w:pPr>
        <w:pStyle w:val="ListParagraph"/>
        <w:numPr>
          <w:ilvl w:val="0"/>
          <w:numId w:val="2"/>
        </w:numPr>
        <w:spacing w:after="100" w:line="340"/>
        <w:jc w:val="both"/>
      </w:pPr>
      <w:r>
        <w:rPr>
          <w:rFonts w:ascii="Arial" w:cs="Arial" w:eastAsia="Arial" w:hAnsi="Arial"/>
          <w:color w:val="000000"/>
          <w:sz w:val="24"/>
          <w:szCs w:val="24"/>
        </w:rPr>
        <w:t xml:space="preserve">Llevar este material a la reunión de mentoría con Esteban antes de la entrega de fin de mes.</w:t>
      </w:r>
    </w:p>
    <w:p>
      <w:pPr>
        <w:spacing w:after="0" w:line="240"/>
      </w:pPr>
      <w:r>
        <w:t xml:space="preserve"/>
      </w:r>
    </w:p>
    <w:p>
      <w:pPr>
        <w:spacing w:after="0" w:line="280"/>
        <w:jc w:val="center"/>
      </w:pPr>
      <w:r>
        <w:rPr>
          <w:rFonts w:ascii="Arial" w:cs="Arial" w:eastAsia="Arial" w:hAnsi="Arial"/>
          <w:i/>
          <w:iCs/>
          <w:color w:val="000000"/>
          <w:sz w:val="24"/>
          <w:szCs w:val="24"/>
        </w:rPr>
        <w:t xml:space="preserve">Documento de trabajo provisorio. Fuentes: 13 entrevistas (Notion · Módulo 3 — Entrevistas) y encuesta "Cómo entrenás y tomás tus decisiones" (60 respuestas).</w:t>
      </w:r>
    </w:p>
    <w:sectPr>
      <w:footerReference w:type="default" r:id="rId7"/>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5a6a26e0c550394144a236caae764de87a2ea0d.png"/><Relationship Id="rId9" Type="http://schemas.openxmlformats.org/officeDocument/2006/relationships/image" Target="media/0ef28c8f00633154ab67a1d284b2f02da0673370.png"/><Relationship Id="rId10" Type="http://schemas.openxmlformats.org/officeDocument/2006/relationships/image" Target="media/f95e1b377b26a5129c8ef0855a2ad0b4d79be4b8.png"/><Relationship Id="rId11" Type="http://schemas.openxmlformats.org/officeDocument/2006/relationships/image" Target="media/ceb7c4063fd1b216d577a33a663180040bf34c5b.png"/><Relationship Id="rId12" Type="http://schemas.openxmlformats.org/officeDocument/2006/relationships/image" Target="media/2b4e57dc735de6424b3f684df966c98d6557122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2026-06-19T21:59:29.993Z</dcterms:created>
  <dcterms:modified xsi:type="dcterms:W3CDTF">2026-06-19T21:59:29.993Z</dcterms:modified>
</cp:coreProperties>
</file>

<file path=docProps/custom.xml><?xml version="1.0" encoding="utf-8"?>
<Properties xmlns="http://schemas.openxmlformats.org/officeDocument/2006/custom-properties" xmlns:vt="http://schemas.openxmlformats.org/officeDocument/2006/docPropsVTypes"/>
</file>