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Risk Analysis Report</w:t>
      </w:r>
    </w:p>
    <w:p>
      <w:pPr>
        <w:pStyle w:val="Heading1"/>
      </w:pPr>
      <w:r>
        <w:t>Introduction</w:t>
      </w:r>
    </w:p>
    <w:p>
      <w:r>
        <w:t>This report presents the findings of the Credit Risk Analysis conducted for Client C001, utilizing our Credit Risk Analysis Playbook (PB001). The analysis aims to assess the creditworthiness of Client C001's debtors and provide strategic recommendations to mitigate potential credit risks.</w:t>
      </w:r>
    </w:p>
    <w:p>
      <w:r>
        <w:t>Analysis Date: 2024-03-15</w:t>
      </w:r>
    </w:p>
    <w:p>
      <w:pPr>
        <w:pStyle w:val="Heading1"/>
      </w:pPr>
      <w:r>
        <w:t>Key Findings</w:t>
      </w:r>
    </w:p>
    <w:p>
      <w:r>
        <w:t>Our analysis identified a high debt-to-equity ratio in several of Client C001's debtors, indicating potential liquidity issues that could affect their ability to meet financial obligations. However, strong net income growth in the past fiscal year suggests that some debtors possess robust profitability and operational efficiency.</w:t>
      </w:r>
    </w:p>
    <w:p>
      <w:pPr>
        <w:pStyle w:val="Heading1"/>
      </w:pPr>
      <w:r>
        <w:t>Recommendations</w:t>
      </w:r>
    </w:p>
    <w:p>
      <w:r>
        <w:t>1. We advise Client C001 to consider restructuring current debt agreements to improve the debtors' liquidity ratios, potentially through extended payment terms or lower interest rates.</w:t>
      </w:r>
    </w:p>
    <w:p>
      <w:r>
        <w:t>2. For debtors with strong net income growth, we recommend continuing current financial management strategies but suggest reassessment in 6 months to monitor sustained profitability.</w:t>
      </w:r>
    </w:p>
    <w:p>
      <w:r>
        <w:t>3. Implement tighter credit control measures for debtors with moderate liquidity concerns, including more rigorous credit checks and setting stricter payment terms.</w:t>
      </w:r>
    </w:p>
    <w:p>
      <w:pPr>
        <w:pStyle w:val="Heading1"/>
      </w:pPr>
      <w:r>
        <w:t>Conclusion</w:t>
      </w:r>
    </w:p>
    <w:p>
      <w:r>
        <w:t>The Credit Risk Analysis for Client C001 reveals areas of potential risk as well as opportunities for strategic financial management to mitigate these risks. By following the recommendations provided, Client C001 can enhance its credit risk profile and ensure financial stability among its debtors.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