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C826" w14:textId="77777777" w:rsidR="009C4553" w:rsidRDefault="009C4553" w:rsidP="009C4553">
      <w:r w:rsidRPr="009C4553">
        <w:t>Como</w:t>
      </w:r>
      <w:r>
        <w:t>r</w:t>
      </w:r>
      <w:r w:rsidR="00AF76B1" w:rsidRPr="00AF76B1">
        <w:rPr>
          <w:u w:val="single"/>
        </w:rPr>
        <w:t>B</w:t>
      </w:r>
      <w:r w:rsidRPr="009C4553">
        <w:t xml:space="preserve">idities </w:t>
      </w:r>
      <w:r w:rsidR="00AF76B1" w:rsidRPr="00AF76B1">
        <w:rPr>
          <w:u w:val="single"/>
        </w:rPr>
        <w:t>A</w:t>
      </w:r>
      <w:r w:rsidRPr="009C4553">
        <w:t xml:space="preserve">nd </w:t>
      </w:r>
      <w:r w:rsidRPr="00AF76B1">
        <w:rPr>
          <w:u w:val="single"/>
        </w:rPr>
        <w:t>D</w:t>
      </w:r>
      <w:r w:rsidRPr="009C4553">
        <w:t xml:space="preserve">isease Manifestations in </w:t>
      </w:r>
      <w:r w:rsidRPr="00AF76B1">
        <w:rPr>
          <w:u w:val="single"/>
        </w:rPr>
        <w:t>A</w:t>
      </w:r>
      <w:r w:rsidRPr="009C4553">
        <w:t xml:space="preserve">nkylosing </w:t>
      </w:r>
      <w:r w:rsidRPr="00AF76B1">
        <w:rPr>
          <w:u w:val="single"/>
        </w:rPr>
        <w:t>S</w:t>
      </w:r>
      <w:r w:rsidRPr="009C4553">
        <w:t>pondylitis (BAD AS): An analysis of U</w:t>
      </w:r>
      <w:r>
        <w:t>S</w:t>
      </w:r>
      <w:r w:rsidRPr="009C4553">
        <w:t xml:space="preserve"> claims databases</w:t>
      </w:r>
      <w:r>
        <w:t>.</w:t>
      </w:r>
    </w:p>
    <w:p w14:paraId="586F3A16" w14:textId="5F612071" w:rsidR="009C4553" w:rsidRPr="009C4553" w:rsidRDefault="009C4553" w:rsidP="009C4553">
      <w:r>
        <w:t xml:space="preserve">Atul Deodhar, Kevin Winthrop, </w:t>
      </w:r>
      <w:r w:rsidR="008946BC">
        <w:t xml:space="preserve">Benjamin Chan, </w:t>
      </w:r>
      <w:r w:rsidR="00266695">
        <w:t xml:space="preserve">Sarah Siegel, </w:t>
      </w:r>
      <w:r>
        <w:t>Jeffery Stark</w:t>
      </w:r>
      <w:r w:rsidR="00A541B1">
        <w:t>*</w:t>
      </w:r>
      <w:r>
        <w:t>, Robert Suruki</w:t>
      </w:r>
      <w:r w:rsidR="00A541B1">
        <w:t>*</w:t>
      </w:r>
      <w:r>
        <w:t>, Rhonda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>
        <w:t>Jeffery Curtis</w:t>
      </w:r>
      <w:r w:rsidR="00A541B1">
        <w:t>**</w:t>
      </w:r>
      <w:r>
        <w:t xml:space="preserve">. </w:t>
      </w:r>
      <w:r w:rsidRPr="009C4553">
        <w:t xml:space="preserve"> </w:t>
      </w:r>
    </w:p>
    <w:p w14:paraId="3E14477E" w14:textId="77777777" w:rsidR="009B0B18" w:rsidRDefault="00A541B1">
      <w:r>
        <w:t>Oregon Health &amp; Science University, Portland, *UCB Pharma, **University of Alabama, Birmingham.</w:t>
      </w:r>
    </w:p>
    <w:p w14:paraId="2B077D06" w14:textId="77777777" w:rsidR="00A92707" w:rsidRDefault="00A92707"/>
    <w:p w14:paraId="59541742" w14:textId="77777777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D37BBD">
        <w:rPr>
          <w:rFonts w:asciiTheme="minorHAnsi" w:hAnsiTheme="minorHAnsi" w:cs="Arial"/>
          <w:sz w:val="22"/>
          <w:szCs w:val="22"/>
        </w:rPr>
        <w:t>Patients with ankylosing s</w:t>
      </w:r>
      <w:r w:rsidRPr="00A92707">
        <w:rPr>
          <w:rFonts w:asciiTheme="minorHAnsi" w:hAnsiTheme="minorHAnsi" w:cs="Arial"/>
          <w:sz w:val="22"/>
          <w:szCs w:val="22"/>
        </w:rPr>
        <w:t>pondylitis</w:t>
      </w:r>
      <w:r w:rsidR="00D37BBD">
        <w:rPr>
          <w:rFonts w:asciiTheme="minorHAnsi" w:hAnsiTheme="minorHAnsi" w:cs="Arial"/>
          <w:sz w:val="22"/>
          <w:szCs w:val="22"/>
        </w:rPr>
        <w:t>,</w:t>
      </w:r>
      <w:r w:rsidR="00AF76B1">
        <w:rPr>
          <w:rFonts w:asciiTheme="minorHAnsi" w:hAnsiTheme="minorHAnsi" w:cs="Arial"/>
          <w:sz w:val="22"/>
          <w:szCs w:val="22"/>
        </w:rPr>
        <w:t xml:space="preserve"> a multi-system immune-mediated</w:t>
      </w:r>
      <w:r w:rsidRPr="00A92707">
        <w:rPr>
          <w:rFonts w:asciiTheme="minorHAnsi" w:hAnsiTheme="minorHAnsi" w:cs="Arial"/>
          <w:sz w:val="22"/>
          <w:szCs w:val="22"/>
        </w:rPr>
        <w:t xml:space="preserve"> chronic inflammatory disease</w:t>
      </w:r>
      <w:r w:rsidR="00AF76B1">
        <w:rPr>
          <w:rFonts w:asciiTheme="minorHAnsi" w:hAnsiTheme="minorHAnsi" w:cs="Arial"/>
          <w:sz w:val="22"/>
          <w:szCs w:val="22"/>
        </w:rPr>
        <w:t>,</w:t>
      </w:r>
      <w:r w:rsidRPr="00A92707">
        <w:rPr>
          <w:rFonts w:asciiTheme="minorHAnsi" w:hAnsiTheme="minorHAnsi" w:cs="Arial"/>
          <w:sz w:val="22"/>
          <w:szCs w:val="22"/>
        </w:rPr>
        <w:t xml:space="preserve"> have experienced reduction in signs and symptoms, improvement in physical function and quality of life</w:t>
      </w:r>
      <w:r w:rsidR="00D37BBD" w:rsidRPr="00D37BBD">
        <w:rPr>
          <w:rFonts w:asciiTheme="minorHAnsi" w:hAnsiTheme="minorHAnsi" w:cs="Arial"/>
          <w:sz w:val="22"/>
          <w:szCs w:val="22"/>
        </w:rPr>
        <w:t xml:space="preserve"> </w:t>
      </w:r>
      <w:r w:rsidR="00AF76B1">
        <w:rPr>
          <w:rFonts w:asciiTheme="minorHAnsi" w:hAnsiTheme="minorHAnsi" w:cs="Arial"/>
          <w:sz w:val="22"/>
          <w:szCs w:val="22"/>
        </w:rPr>
        <w:t>w</w:t>
      </w:r>
      <w:r w:rsidR="00D37BBD" w:rsidRPr="00A92707">
        <w:rPr>
          <w:rFonts w:asciiTheme="minorHAnsi" w:hAnsiTheme="minorHAnsi" w:cs="Arial"/>
          <w:sz w:val="22"/>
          <w:szCs w:val="22"/>
        </w:rPr>
        <w:t xml:space="preserve">ith the advent of </w:t>
      </w:r>
      <w:r w:rsidR="0024373E">
        <w:rPr>
          <w:rFonts w:asciiTheme="minorHAnsi" w:hAnsiTheme="minorHAnsi" w:cs="Arial"/>
          <w:sz w:val="22"/>
          <w:szCs w:val="22"/>
        </w:rPr>
        <w:t>biologic treatment such as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D37BBD" w:rsidRPr="00A92707">
        <w:rPr>
          <w:rFonts w:asciiTheme="minorHAnsi" w:hAnsiTheme="minorHAnsi" w:cs="Arial"/>
          <w:sz w:val="22"/>
          <w:szCs w:val="22"/>
        </w:rPr>
        <w:t>tumor ne</w:t>
      </w:r>
      <w:r w:rsidR="00AF76B1">
        <w:rPr>
          <w:rFonts w:asciiTheme="minorHAnsi" w:hAnsiTheme="minorHAnsi" w:cs="Arial"/>
          <w:sz w:val="22"/>
          <w:szCs w:val="22"/>
        </w:rPr>
        <w:t>crosis factor inhibitors (TNFi)</w:t>
      </w:r>
      <w:r w:rsidRPr="00A92707">
        <w:rPr>
          <w:rFonts w:asciiTheme="minorHAnsi" w:hAnsiTheme="minorHAnsi" w:cs="Arial"/>
          <w:sz w:val="22"/>
          <w:szCs w:val="22"/>
        </w:rPr>
        <w:t xml:space="preserve">.  Whether </w:t>
      </w:r>
      <w:r>
        <w:rPr>
          <w:rFonts w:asciiTheme="minorHAnsi" w:hAnsiTheme="minorHAnsi" w:cs="Arial"/>
          <w:sz w:val="22"/>
          <w:szCs w:val="22"/>
        </w:rPr>
        <w:t>TNFi</w:t>
      </w:r>
      <w:r w:rsidRPr="00A92707">
        <w:rPr>
          <w:rFonts w:asciiTheme="minorHAnsi" w:hAnsiTheme="minorHAnsi" w:cs="Arial"/>
          <w:sz w:val="22"/>
          <w:szCs w:val="22"/>
        </w:rPr>
        <w:t xml:space="preserve"> have altered the incidence of comorbidities </w:t>
      </w:r>
      <w:r w:rsidR="0024373E">
        <w:rPr>
          <w:rFonts w:asciiTheme="minorHAnsi" w:hAnsiTheme="minorHAnsi" w:cs="Arial"/>
          <w:sz w:val="22"/>
          <w:szCs w:val="22"/>
        </w:rPr>
        <w:t xml:space="preserve">in AS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5B97B165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Three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E24471">
        <w:rPr>
          <w:rFonts w:asciiTheme="minorHAnsi" w:hAnsiTheme="minorHAnsi" w:cs="Arial"/>
          <w:sz w:val="22"/>
          <w:szCs w:val="22"/>
        </w:rPr>
        <w:t>–</w:t>
      </w:r>
      <w:r w:rsidRPr="00A92707">
        <w:rPr>
          <w:rFonts w:asciiTheme="minorHAnsi" w:hAnsiTheme="minorHAnsi" w:cs="Arial"/>
          <w:sz w:val="22"/>
          <w:szCs w:val="22"/>
        </w:rPr>
        <w:t xml:space="preserve"> Multi-Payer Claims Database (MPCD) (2007-2010), Truven Marketscan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(2010-2014), and the U.S.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(2006-2014) </w:t>
      </w:r>
      <w:r w:rsidR="00E24471">
        <w:rPr>
          <w:rFonts w:asciiTheme="minorHAnsi" w:hAnsiTheme="minorHAnsi" w:cs="Arial"/>
          <w:sz w:val="22"/>
          <w:szCs w:val="22"/>
        </w:rPr>
        <w:t xml:space="preserve">– </w:t>
      </w:r>
      <w:r>
        <w:rPr>
          <w:rFonts w:asciiTheme="minorHAnsi" w:hAnsiTheme="minorHAnsi" w:cs="Arial"/>
          <w:sz w:val="22"/>
          <w:szCs w:val="22"/>
        </w:rPr>
        <w:t xml:space="preserve">were </w:t>
      </w:r>
      <w:r w:rsidR="00E42C17">
        <w:rPr>
          <w:rFonts w:asciiTheme="minorHAnsi" w:hAnsiTheme="minorHAnsi" w:cs="Arial"/>
          <w:sz w:val="22"/>
          <w:szCs w:val="22"/>
        </w:rPr>
        <w:t>searched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>to assess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disease manifestations and comorbidities (total 13 categories: including cardiac, neurological, kidney, lung diseases, fracture, </w:t>
      </w:r>
      <w:r w:rsidR="006656E1">
        <w:rPr>
          <w:rFonts w:asciiTheme="minorHAnsi" w:hAnsiTheme="minorHAnsi" w:cs="Arial"/>
          <w:sz w:val="22"/>
          <w:szCs w:val="22"/>
        </w:rPr>
        <w:t>disease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manifestations such as uveitis, psoriasis, and inflammatory bowel</w:t>
      </w:r>
      <w:r w:rsidR="00544227">
        <w:rPr>
          <w:rFonts w:asciiTheme="minorHAnsi" w:hAnsiTheme="minorHAnsi" w:cs="Arial"/>
          <w:sz w:val="22"/>
          <w:szCs w:val="22"/>
        </w:rPr>
        <w:t xml:space="preserve"> </w:t>
      </w:r>
      <w:r w:rsidR="006656E1">
        <w:rPr>
          <w:rFonts w:asciiTheme="minorHAnsi" w:hAnsiTheme="minorHAnsi" w:cs="Arial"/>
          <w:sz w:val="22"/>
          <w:szCs w:val="22"/>
        </w:rPr>
        <w:t>disease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, infections (hospitalized and opportunistic), hematologic malignancy, solid tumors, </w:t>
      </w:r>
      <w:r w:rsidR="006656E1">
        <w:rPr>
          <w:rFonts w:asciiTheme="minorHAnsi" w:hAnsiTheme="minorHAnsi" w:cs="Arial"/>
          <w:sz w:val="22"/>
          <w:szCs w:val="22"/>
        </w:rPr>
        <w:t xml:space="preserve">and </w:t>
      </w:r>
      <w:r w:rsidR="00544227">
        <w:rPr>
          <w:rFonts w:asciiTheme="minorHAnsi" w:hAnsiTheme="minorHAnsi" w:cs="Arial"/>
          <w:sz w:val="22"/>
          <w:szCs w:val="22"/>
        </w:rPr>
        <w:t>non</w:t>
      </w:r>
      <w:r w:rsidR="006656E1">
        <w:rPr>
          <w:rFonts w:asciiTheme="minorHAnsi" w:hAnsiTheme="minorHAnsi" w:cs="Arial"/>
          <w:sz w:val="22"/>
          <w:szCs w:val="22"/>
        </w:rPr>
        <w:t>-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melanoma skin cancer (basal </w:t>
      </w:r>
      <w:r w:rsidR="006656E1">
        <w:rPr>
          <w:rFonts w:asciiTheme="minorHAnsi" w:hAnsiTheme="minorHAnsi" w:cs="Arial"/>
          <w:sz w:val="22"/>
          <w:szCs w:val="22"/>
        </w:rPr>
        <w:t>&amp; squamous cell</w:t>
      </w:r>
      <w:r w:rsidR="00604466">
        <w:rPr>
          <w:rFonts w:asciiTheme="minorHAnsi" w:hAnsiTheme="minorHAnsi" w:cs="Arial"/>
          <w:sz w:val="22"/>
          <w:szCs w:val="22"/>
        </w:rPr>
        <w:t xml:space="preserve">) in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three groups of AS patients: those managed with either no therapy or prescription non-steroidal anti-inflammatory drugs (NSAIDs), those given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(DMARDS), and those using TNFi</w:t>
      </w:r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EA7121" w:rsidRPr="00A92707">
        <w:rPr>
          <w:rFonts w:asciiTheme="minorHAnsi" w:hAnsiTheme="minorHAnsi" w:cs="Arial"/>
          <w:sz w:val="22"/>
          <w:szCs w:val="22"/>
        </w:rPr>
        <w:t xml:space="preserve">Entry criteria </w:t>
      </w:r>
      <w:r w:rsidR="00EA7121">
        <w:rPr>
          <w:rFonts w:asciiTheme="minorHAnsi" w:hAnsiTheme="minorHAnsi" w:cs="Arial"/>
          <w:sz w:val="22"/>
          <w:szCs w:val="22"/>
        </w:rPr>
        <w:t>were</w:t>
      </w:r>
      <w:r w:rsidR="00EA7121" w:rsidRPr="00A92707">
        <w:rPr>
          <w:rFonts w:asciiTheme="minorHAnsi" w:hAnsiTheme="minorHAnsi" w:cs="Arial"/>
          <w:sz w:val="22"/>
          <w:szCs w:val="22"/>
        </w:rPr>
        <w:t xml:space="preserve"> a rheumatologist’s diagnosis of AS, six-months of pre-diagnosis insurance coverage, and (for drug-specific exposures) administration of AS exposures of interest after the AS diagnosis. For the estimation of the incidence of comorbidities, data collection end</w:t>
      </w:r>
      <w:r w:rsidR="00EA7121">
        <w:rPr>
          <w:rFonts w:asciiTheme="minorHAnsi" w:hAnsiTheme="minorHAnsi" w:cs="Arial"/>
          <w:sz w:val="22"/>
          <w:szCs w:val="22"/>
        </w:rPr>
        <w:t>ed</w:t>
      </w:r>
      <w:r w:rsidR="00EA7121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 w:rsidRPr="00A92707">
        <w:rPr>
          <w:rFonts w:asciiTheme="minorHAnsi" w:eastAsia="SimSun" w:hAnsiTheme="minorHAnsi"/>
          <w:sz w:val="22"/>
          <w:szCs w:val="22"/>
        </w:rPr>
        <w:t>at the</w:t>
      </w:r>
      <w:r w:rsidR="00EA7121">
        <w:rPr>
          <w:rFonts w:asciiTheme="minorHAnsi" w:eastAsia="SimSun" w:hAnsiTheme="minorHAnsi"/>
          <w:sz w:val="22"/>
          <w:szCs w:val="22"/>
        </w:rPr>
        <w:t xml:space="preserve"> earliest of date of death, loss of</w:t>
      </w:r>
      <w:r w:rsidR="00EA7121" w:rsidRPr="00A92707">
        <w:rPr>
          <w:rFonts w:asciiTheme="minorHAnsi" w:eastAsia="SimSun" w:hAnsiTheme="minorHAnsi"/>
          <w:sz w:val="22"/>
          <w:szCs w:val="22"/>
        </w:rPr>
        <w:t xml:space="preserve"> medical or pharmacy coverage, end of study period, first outcome occurrence, or treatment discontinuation.</w:t>
      </w:r>
      <w:r w:rsidR="00E42C17">
        <w:rPr>
          <w:rFonts w:asciiTheme="minorHAnsi" w:eastAsia="SimSun" w:hAnsiTheme="minorHAnsi"/>
          <w:sz w:val="22"/>
          <w:szCs w:val="22"/>
        </w:rPr>
        <w:t xml:space="preserve"> </w:t>
      </w:r>
      <w:r w:rsidR="00E42C17">
        <w:rPr>
          <w:rFonts w:asciiTheme="minorHAnsi" w:hAnsiTheme="minorHAnsi" w:cs="Arial"/>
          <w:sz w:val="22"/>
          <w:szCs w:val="22"/>
        </w:rPr>
        <w:t>S</w:t>
      </w:r>
      <w:r w:rsidR="00E42C17" w:rsidRPr="00A92707">
        <w:rPr>
          <w:rFonts w:asciiTheme="minorHAnsi" w:hAnsiTheme="minorHAnsi" w:cs="Arial"/>
          <w:sz w:val="22"/>
          <w:szCs w:val="22"/>
        </w:rPr>
        <w:t xml:space="preserve">amples of the non-AS general population in Medicare </w:t>
      </w:r>
      <w:r w:rsidR="00E42C17">
        <w:rPr>
          <w:rFonts w:asciiTheme="minorHAnsi" w:hAnsiTheme="minorHAnsi" w:cs="Arial"/>
          <w:sz w:val="22"/>
          <w:szCs w:val="22"/>
        </w:rPr>
        <w:t>was</w:t>
      </w:r>
      <w:r w:rsidR="00E42C17" w:rsidRPr="00A92707">
        <w:rPr>
          <w:rFonts w:asciiTheme="minorHAnsi" w:hAnsiTheme="minorHAnsi" w:cs="Arial"/>
          <w:sz w:val="22"/>
          <w:szCs w:val="22"/>
        </w:rPr>
        <w:t xml:space="preserve"> used </w:t>
      </w:r>
      <w:r w:rsidR="00E42C17">
        <w:rPr>
          <w:rFonts w:asciiTheme="minorHAnsi" w:hAnsiTheme="minorHAnsi" w:cs="Arial"/>
          <w:sz w:val="22"/>
          <w:szCs w:val="22"/>
        </w:rPr>
        <w:t>as</w:t>
      </w:r>
      <w:r w:rsidR="00E42C1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42C17">
        <w:rPr>
          <w:rFonts w:asciiTheme="minorHAnsi" w:hAnsiTheme="minorHAnsi" w:cs="Arial"/>
          <w:sz w:val="22"/>
          <w:szCs w:val="22"/>
        </w:rPr>
        <w:t>comparator</w:t>
      </w:r>
      <w:r w:rsidR="00E42C17" w:rsidRPr="00A92707">
        <w:rPr>
          <w:rFonts w:asciiTheme="minorHAnsi" w:hAnsiTheme="minorHAnsi" w:cs="Arial"/>
          <w:sz w:val="22"/>
          <w:szCs w:val="22"/>
        </w:rPr>
        <w:t>.</w:t>
      </w:r>
    </w:p>
    <w:p w14:paraId="5256B0A4" w14:textId="51B9713D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otal number of people included in three databases is </w:t>
      </w:r>
      <w:r w:rsidR="00C566A3">
        <w:rPr>
          <w:rFonts w:cs="Arial"/>
        </w:rPr>
        <w:sym w:font="Symbol" w:char="F0BB"/>
      </w:r>
      <w:r w:rsidR="00C566A3">
        <w:rPr>
          <w:rFonts w:cs="Arial"/>
        </w:rPr>
        <w:t xml:space="preserve"> </w:t>
      </w:r>
      <w:r w:rsidR="00A92707" w:rsidRPr="00A92707">
        <w:rPr>
          <w:rFonts w:cs="Arial"/>
        </w:rPr>
        <w:t xml:space="preserve">40 million. The age </w:t>
      </w:r>
      <w:r w:rsidR="00C566A3">
        <w:rPr>
          <w:rFonts w:cs="Arial"/>
        </w:rPr>
        <w:t>&amp;</w:t>
      </w:r>
      <w:r w:rsidR="00A92707" w:rsidRPr="00A92707">
        <w:rPr>
          <w:rFonts w:cs="Arial"/>
        </w:rPr>
        <w:t xml:space="preserve"> sex standardized prevalence of AS</w:t>
      </w:r>
      <w:r w:rsidR="00C566A3">
        <w:rPr>
          <w:rFonts w:cs="Arial"/>
        </w:rPr>
        <w:t xml:space="preserve"> was </w:t>
      </w:r>
      <w:r w:rsidR="00C566A3" w:rsidRPr="00F54792">
        <w:rPr>
          <w:rFonts w:cs="Arial"/>
          <w:highlight w:val="yellow"/>
        </w:rPr>
        <w:t>XX</w:t>
      </w:r>
      <w:r w:rsidR="00C566A3">
        <w:rPr>
          <w:rFonts w:cs="Arial"/>
        </w:rPr>
        <w:t>. T</w:t>
      </w:r>
      <w:r w:rsidR="00A92707" w:rsidRPr="00A92707">
        <w:rPr>
          <w:rFonts w:cs="Arial"/>
        </w:rPr>
        <w:t xml:space="preserve">he prevalence of </w:t>
      </w:r>
      <w:r w:rsidR="00A92707" w:rsidRPr="00A92707">
        <w:rPr>
          <w:rFonts w:cs="Arial"/>
          <w:bCs/>
        </w:rPr>
        <w:t xml:space="preserve">comorbidities and </w:t>
      </w:r>
      <w:r w:rsidR="00C566A3">
        <w:rPr>
          <w:rFonts w:cs="Arial"/>
        </w:rPr>
        <w:t>the incidence rate</w:t>
      </w:r>
      <w:r w:rsidR="0009446C">
        <w:rPr>
          <w:rFonts w:cs="Arial"/>
        </w:rPr>
        <w:t>s</w:t>
      </w:r>
      <w:r w:rsidR="00A92707" w:rsidRPr="00A92707">
        <w:rPr>
          <w:rFonts w:cs="Arial"/>
        </w:rPr>
        <w:t xml:space="preserve"> of </w:t>
      </w:r>
      <w:r w:rsidR="00A92707" w:rsidRPr="00A92707">
        <w:rPr>
          <w:rFonts w:cs="Arial"/>
          <w:bCs/>
        </w:rPr>
        <w:t>outcome of interest by treatment exposures</w:t>
      </w:r>
      <w:r w:rsidR="00A92707" w:rsidRPr="00A92707">
        <w:rPr>
          <w:rFonts w:cs="Arial"/>
        </w:rPr>
        <w:t xml:space="preserve"> stratified by each data source</w:t>
      </w:r>
      <w:r w:rsidR="00C566A3">
        <w:rPr>
          <w:rFonts w:cs="Arial"/>
        </w:rPr>
        <w:t xml:space="preserve"> </w:t>
      </w:r>
      <w:r w:rsidR="0009446C">
        <w:rPr>
          <w:rFonts w:cs="Arial"/>
        </w:rPr>
        <w:t>are</w:t>
      </w:r>
      <w:r w:rsidR="00C566A3">
        <w:rPr>
          <w:rFonts w:cs="Arial"/>
        </w:rPr>
        <w:t xml:space="preserve"> shown in Table 1</w:t>
      </w:r>
      <w:r w:rsidR="00A92707" w:rsidRPr="00A92707">
        <w:rPr>
          <w:rFonts w:cs="Arial"/>
        </w:rPr>
        <w:t xml:space="preserve">. </w:t>
      </w:r>
      <w:r w:rsidR="007A433B">
        <w:rPr>
          <w:rFonts w:cs="Arial"/>
        </w:rPr>
        <w:t>M</w:t>
      </w:r>
      <w:r w:rsidR="00A92707" w:rsidRPr="00A92707">
        <w:rPr>
          <w:rFonts w:cs="Arial"/>
        </w:rPr>
        <w:t>ultivariable adjusted hazard ratios</w:t>
      </w:r>
      <w:r w:rsidR="007A433B">
        <w:rPr>
          <w:rFonts w:cs="Arial"/>
        </w:rPr>
        <w:t xml:space="preserve"> (HR)</w:t>
      </w:r>
      <w:r w:rsidR="00A92707" w:rsidRPr="00A92707">
        <w:rPr>
          <w:rFonts w:cs="Arial"/>
        </w:rPr>
        <w:t xml:space="preserve"> of outcomes of interest for </w:t>
      </w:r>
      <w:r w:rsidR="007A433B">
        <w:rPr>
          <w:rFonts w:cs="Arial"/>
        </w:rPr>
        <w:t xml:space="preserve">TNFi </w:t>
      </w:r>
      <w:r w:rsidR="0009446C">
        <w:rPr>
          <w:rFonts w:cs="Arial"/>
        </w:rPr>
        <w:t xml:space="preserve">compared with </w:t>
      </w:r>
      <w:r w:rsidR="0009446C">
        <w:rPr>
          <w:rFonts w:cs="Arial"/>
        </w:rPr>
        <w:t>HR for</w:t>
      </w:r>
      <w:r w:rsidR="0009446C" w:rsidRPr="00A92707">
        <w:rPr>
          <w:rFonts w:cs="Arial"/>
        </w:rPr>
        <w:t xml:space="preserve"> NSAIDs </w:t>
      </w:r>
      <w:r w:rsidR="0009446C">
        <w:rPr>
          <w:rFonts w:cs="Arial"/>
        </w:rPr>
        <w:t>being 1</w:t>
      </w:r>
      <w:r w:rsidR="0009446C" w:rsidRPr="00A92707">
        <w:rPr>
          <w:rFonts w:cs="Arial"/>
        </w:rPr>
        <w:t xml:space="preserve"> </w:t>
      </w:r>
      <w:r w:rsidR="007A433B">
        <w:rPr>
          <w:rFonts w:cs="Arial"/>
        </w:rPr>
        <w:t xml:space="preserve">are shown in Table 1 </w:t>
      </w:r>
      <w:r w:rsidR="0009446C">
        <w:rPr>
          <w:rFonts w:cs="Arial"/>
        </w:rPr>
        <w:t>(</w:t>
      </w:r>
      <w:r w:rsidR="00A92707" w:rsidRPr="00A92707">
        <w:rPr>
          <w:rFonts w:cs="Arial"/>
        </w:rPr>
        <w:t>Cox regression</w:t>
      </w:r>
      <w:r w:rsidR="0009446C">
        <w:rPr>
          <w:rFonts w:cs="Arial"/>
        </w:rPr>
        <w:t>)</w:t>
      </w:r>
      <w:r w:rsidR="00A92707" w:rsidRPr="00A92707">
        <w:rPr>
          <w:rFonts w:cs="Arial"/>
        </w:rPr>
        <w:t xml:space="preserve">.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3"/>
        <w:gridCol w:w="616"/>
        <w:gridCol w:w="487"/>
        <w:gridCol w:w="549"/>
        <w:gridCol w:w="570"/>
        <w:gridCol w:w="616"/>
        <w:gridCol w:w="486"/>
        <w:gridCol w:w="548"/>
        <w:gridCol w:w="569"/>
        <w:gridCol w:w="616"/>
        <w:gridCol w:w="487"/>
        <w:gridCol w:w="548"/>
        <w:gridCol w:w="569"/>
        <w:gridCol w:w="1111"/>
      </w:tblGrid>
      <w:tr w:rsidR="007A433B" w:rsidRPr="00F54792" w14:paraId="04558FA4" w14:textId="77777777" w:rsidTr="007A4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C03D992" w14:textId="77777777" w:rsidR="007A433B" w:rsidRDefault="007A433B" w:rsidP="00A92707"/>
        </w:tc>
        <w:tc>
          <w:tcPr>
            <w:tcW w:w="2222" w:type="dxa"/>
            <w:gridSpan w:val="4"/>
          </w:tcPr>
          <w:p w14:paraId="2C5116E7" w14:textId="700A290A" w:rsidR="007A433B" w:rsidRPr="00F54792" w:rsidRDefault="007A433B" w:rsidP="00A9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MPCD Database</w:t>
            </w:r>
          </w:p>
        </w:tc>
        <w:tc>
          <w:tcPr>
            <w:tcW w:w="2219" w:type="dxa"/>
            <w:gridSpan w:val="4"/>
          </w:tcPr>
          <w:p w14:paraId="11FF04ED" w14:textId="0A3D396D" w:rsidR="007A433B" w:rsidRPr="00F54792" w:rsidRDefault="007A433B" w:rsidP="00A9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Marketscan Database</w:t>
            </w:r>
          </w:p>
        </w:tc>
        <w:tc>
          <w:tcPr>
            <w:tcW w:w="2220" w:type="dxa"/>
            <w:gridSpan w:val="4"/>
          </w:tcPr>
          <w:p w14:paraId="777D9B71" w14:textId="22A778CE" w:rsidR="007A433B" w:rsidRPr="00F54792" w:rsidRDefault="007A433B" w:rsidP="00A9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Medicare Database</w:t>
            </w:r>
          </w:p>
        </w:tc>
        <w:tc>
          <w:tcPr>
            <w:tcW w:w="1111" w:type="dxa"/>
          </w:tcPr>
          <w:p w14:paraId="158CF73F" w14:textId="04694C07" w:rsidR="007A433B" w:rsidRPr="00F54792" w:rsidRDefault="007A433B" w:rsidP="00A9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Pooled</w:t>
            </w:r>
            <w:r w:rsidRPr="00F54792">
              <w:rPr>
                <w:highlight w:val="yellow"/>
              </w:rPr>
              <w:br/>
              <w:t>TNFi HR</w:t>
            </w:r>
          </w:p>
        </w:tc>
      </w:tr>
      <w:tr w:rsidR="007A433B" w:rsidRPr="00F54792" w14:paraId="4864FD6B" w14:textId="77777777" w:rsidTr="007A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1742E4A" w14:textId="77777777" w:rsidR="007A433B" w:rsidRPr="00F54792" w:rsidRDefault="007A433B" w:rsidP="00A92707">
            <w:pPr>
              <w:rPr>
                <w:highlight w:val="yellow"/>
              </w:rPr>
            </w:pPr>
          </w:p>
        </w:tc>
        <w:tc>
          <w:tcPr>
            <w:tcW w:w="616" w:type="dxa"/>
          </w:tcPr>
          <w:p w14:paraId="4120B110" w14:textId="18FE6BF2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Prev</w:t>
            </w:r>
          </w:p>
        </w:tc>
        <w:tc>
          <w:tcPr>
            <w:tcW w:w="1606" w:type="dxa"/>
            <w:gridSpan w:val="3"/>
          </w:tcPr>
          <w:p w14:paraId="7BAF4131" w14:textId="38C725CC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Incidence rate</w:t>
            </w:r>
          </w:p>
        </w:tc>
        <w:tc>
          <w:tcPr>
            <w:tcW w:w="616" w:type="dxa"/>
          </w:tcPr>
          <w:p w14:paraId="0D64F3A8" w14:textId="422728F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Prev</w:t>
            </w:r>
          </w:p>
        </w:tc>
        <w:tc>
          <w:tcPr>
            <w:tcW w:w="1603" w:type="dxa"/>
            <w:gridSpan w:val="3"/>
          </w:tcPr>
          <w:p w14:paraId="274A92DD" w14:textId="4B01D215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Incidence rate</w:t>
            </w:r>
          </w:p>
        </w:tc>
        <w:tc>
          <w:tcPr>
            <w:tcW w:w="616" w:type="dxa"/>
          </w:tcPr>
          <w:p w14:paraId="72F0E726" w14:textId="3E6B431E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Prev</w:t>
            </w:r>
          </w:p>
        </w:tc>
        <w:tc>
          <w:tcPr>
            <w:tcW w:w="1604" w:type="dxa"/>
            <w:gridSpan w:val="3"/>
          </w:tcPr>
          <w:p w14:paraId="7BA03CF8" w14:textId="1FE55AB4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Incidence rate</w:t>
            </w:r>
          </w:p>
        </w:tc>
        <w:tc>
          <w:tcPr>
            <w:tcW w:w="1111" w:type="dxa"/>
          </w:tcPr>
          <w:p w14:paraId="0C94F6CB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6A30FF0C" w14:textId="77777777" w:rsidTr="007A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55AC3D7" w14:textId="77777777" w:rsidR="007A433B" w:rsidRPr="00F54792" w:rsidRDefault="007A433B" w:rsidP="00A92707">
            <w:pPr>
              <w:rPr>
                <w:highlight w:val="yellow"/>
              </w:rPr>
            </w:pPr>
          </w:p>
        </w:tc>
        <w:tc>
          <w:tcPr>
            <w:tcW w:w="616" w:type="dxa"/>
          </w:tcPr>
          <w:p w14:paraId="6618045E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426C6E41" w14:textId="5EBD5F56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NS</w:t>
            </w:r>
          </w:p>
        </w:tc>
        <w:tc>
          <w:tcPr>
            <w:tcW w:w="549" w:type="dxa"/>
          </w:tcPr>
          <w:p w14:paraId="54CE80DD" w14:textId="21FF43E8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DM</w:t>
            </w:r>
          </w:p>
        </w:tc>
        <w:tc>
          <w:tcPr>
            <w:tcW w:w="570" w:type="dxa"/>
          </w:tcPr>
          <w:p w14:paraId="1132828B" w14:textId="58DCD0B4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TNF</w:t>
            </w:r>
          </w:p>
        </w:tc>
        <w:tc>
          <w:tcPr>
            <w:tcW w:w="616" w:type="dxa"/>
          </w:tcPr>
          <w:p w14:paraId="59C6C352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393FFCCD" w14:textId="2A3F76CA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NS</w:t>
            </w:r>
          </w:p>
        </w:tc>
        <w:tc>
          <w:tcPr>
            <w:tcW w:w="548" w:type="dxa"/>
          </w:tcPr>
          <w:p w14:paraId="66D22068" w14:textId="5FBCDE5A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DM</w:t>
            </w:r>
          </w:p>
        </w:tc>
        <w:tc>
          <w:tcPr>
            <w:tcW w:w="569" w:type="dxa"/>
          </w:tcPr>
          <w:p w14:paraId="2632311D" w14:textId="6BAAFAA9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TNF</w:t>
            </w:r>
          </w:p>
        </w:tc>
        <w:tc>
          <w:tcPr>
            <w:tcW w:w="616" w:type="dxa"/>
          </w:tcPr>
          <w:p w14:paraId="6E92FE9F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183F18D8" w14:textId="195F08AD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NS</w:t>
            </w:r>
          </w:p>
        </w:tc>
        <w:tc>
          <w:tcPr>
            <w:tcW w:w="548" w:type="dxa"/>
          </w:tcPr>
          <w:p w14:paraId="47A8CC58" w14:textId="6DDCA23F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DM</w:t>
            </w:r>
          </w:p>
        </w:tc>
        <w:tc>
          <w:tcPr>
            <w:tcW w:w="569" w:type="dxa"/>
          </w:tcPr>
          <w:p w14:paraId="31B41673" w14:textId="44493D14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54792">
              <w:rPr>
                <w:highlight w:val="yellow"/>
              </w:rPr>
              <w:t>TNF</w:t>
            </w:r>
          </w:p>
        </w:tc>
        <w:tc>
          <w:tcPr>
            <w:tcW w:w="1111" w:type="dxa"/>
          </w:tcPr>
          <w:p w14:paraId="4E3E43D1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169E2070" w14:textId="77777777" w:rsidTr="007A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4B565D1" w14:textId="5EB18FAE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UC</w:t>
            </w:r>
          </w:p>
        </w:tc>
        <w:tc>
          <w:tcPr>
            <w:tcW w:w="616" w:type="dxa"/>
          </w:tcPr>
          <w:p w14:paraId="6E1009CB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7854AF26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63D02F20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44ACD53D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357D4D3E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23091353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2E371BCA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1331D68C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7A007B3E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7F84F72D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2B0B6AB7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7009C193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50D42519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3FAAEDC3" w14:textId="77777777" w:rsidTr="007A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B4F1B6A" w14:textId="488CA74F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Cr</w:t>
            </w:r>
          </w:p>
        </w:tc>
        <w:tc>
          <w:tcPr>
            <w:tcW w:w="616" w:type="dxa"/>
          </w:tcPr>
          <w:p w14:paraId="34DB8A39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655288F1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2A5C7665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3836C94C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28D542D3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187166CE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5181B19F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7787F0DB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3530086E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0EC03C01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7FCAB63F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1EBE7E75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3D32ED14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4B3FECF9" w14:textId="77777777" w:rsidTr="007A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B702370" w14:textId="56FB4A61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Uv</w:t>
            </w:r>
          </w:p>
        </w:tc>
        <w:tc>
          <w:tcPr>
            <w:tcW w:w="616" w:type="dxa"/>
          </w:tcPr>
          <w:p w14:paraId="380C521C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4BB6CE85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3F1D8FB2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6C1E6F29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669B6D61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73C01B3F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2BE22724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1E044F3F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2660DC16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6CE7F44F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19945D02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6BC0D530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528C195B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75D6402B" w14:textId="77777777" w:rsidTr="007A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E72DB94" w14:textId="01614C6D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PsO</w:t>
            </w:r>
          </w:p>
        </w:tc>
        <w:tc>
          <w:tcPr>
            <w:tcW w:w="616" w:type="dxa"/>
          </w:tcPr>
          <w:p w14:paraId="475EB5C6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17705442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4B5D2DF6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50B902DE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64AFE9F2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4BAEC6F3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0B13308C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7A3A1D48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22825CBA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7E2C11ED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7BB8A070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74EFE5E4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40411035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4633FACE" w14:textId="77777777" w:rsidTr="007A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768B366" w14:textId="0CBD9544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PsA</w:t>
            </w:r>
          </w:p>
        </w:tc>
        <w:tc>
          <w:tcPr>
            <w:tcW w:w="616" w:type="dxa"/>
          </w:tcPr>
          <w:p w14:paraId="46B71A9C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7984A23E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705120FA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736B0BC8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6CAFE653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3323E2EF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02C5AA25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741CED35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14C50B10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66461224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2932EB29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217455F1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520EECDA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7FDBC874" w14:textId="77777777" w:rsidTr="007A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299DC8" w14:textId="601416DD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AR</w:t>
            </w:r>
          </w:p>
        </w:tc>
        <w:tc>
          <w:tcPr>
            <w:tcW w:w="616" w:type="dxa"/>
          </w:tcPr>
          <w:p w14:paraId="7E96DF8A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7D0AA1D2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1BEEFCB0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3A60A81B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291DE82E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7B60F46A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518D8031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3C7BB10A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7043B348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7041CB83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27295242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77457694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275D5A1F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6D1F9D2F" w14:textId="77777777" w:rsidTr="007A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DA61103" w14:textId="7DBDF45C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MI</w:t>
            </w:r>
          </w:p>
        </w:tc>
        <w:tc>
          <w:tcPr>
            <w:tcW w:w="616" w:type="dxa"/>
          </w:tcPr>
          <w:p w14:paraId="56E77821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08F8743E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3E90115E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37F70862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1B096B26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53605896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32334CC8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751569C6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5187B7F5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5EA9028D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14D3BF2E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1A5A0707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5D329049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03AB72E9" w14:textId="77777777" w:rsidTr="007A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0DE0BBB" w14:textId="7B546E4C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CE</w:t>
            </w:r>
          </w:p>
        </w:tc>
        <w:tc>
          <w:tcPr>
            <w:tcW w:w="616" w:type="dxa"/>
          </w:tcPr>
          <w:p w14:paraId="11750849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51CB9C07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0B2DABA3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721E3FB0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0D7E3AFA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3EA93BFF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7D6F81CC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39D358FC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7C098858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14C09F24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3CA5F5A1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45CCFB41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32B87BF0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204E941E" w14:textId="77777777" w:rsidTr="007A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3640EDD" w14:textId="711843A1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PF</w:t>
            </w:r>
          </w:p>
        </w:tc>
        <w:tc>
          <w:tcPr>
            <w:tcW w:w="616" w:type="dxa"/>
          </w:tcPr>
          <w:p w14:paraId="109B134C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28400A60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3BDACE75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542F2037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2EF3C349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5897912C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49A93407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7B3DD1B9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0DA3969A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57D5571A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2E7B7363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510668DE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4426FAF4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06488EAC" w14:textId="77777777" w:rsidTr="007A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1950703" w14:textId="4AE77897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IgA</w:t>
            </w:r>
          </w:p>
        </w:tc>
        <w:tc>
          <w:tcPr>
            <w:tcW w:w="616" w:type="dxa"/>
          </w:tcPr>
          <w:p w14:paraId="4D3AB5D6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605EB1FA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2BDEA3F4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1744A335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3F35DA62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1007A8F0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10E8AFAB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49A7FA9A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4C45CAB9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2C7F00D0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1F4EEABB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318FC022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60B6466D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55127E47" w14:textId="77777777" w:rsidTr="007A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8960852" w14:textId="2D0A117F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lastRenderedPageBreak/>
              <w:t>NS</w:t>
            </w:r>
          </w:p>
        </w:tc>
        <w:tc>
          <w:tcPr>
            <w:tcW w:w="616" w:type="dxa"/>
          </w:tcPr>
          <w:p w14:paraId="1EC9EF3C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43EB822D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3CEDC6B9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08ED80E6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1A76BB4B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57FBE783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75ED806D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3364CEC2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3D5CB760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28F3C1FB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2A658770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14099195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24AB2DA8" w14:textId="77777777" w:rsidR="007A433B" w:rsidRPr="00F54792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:rsidRPr="00F54792" w14:paraId="7A68C0DD" w14:textId="77777777" w:rsidTr="007A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8342E2" w14:textId="764E0A67" w:rsidR="007A433B" w:rsidRPr="00F54792" w:rsidRDefault="007A433B" w:rsidP="00A92707">
            <w:pPr>
              <w:rPr>
                <w:highlight w:val="yellow"/>
              </w:rPr>
            </w:pPr>
            <w:r w:rsidRPr="00F54792">
              <w:rPr>
                <w:highlight w:val="yellow"/>
              </w:rPr>
              <w:t>VF</w:t>
            </w:r>
          </w:p>
        </w:tc>
        <w:tc>
          <w:tcPr>
            <w:tcW w:w="616" w:type="dxa"/>
          </w:tcPr>
          <w:p w14:paraId="63A9B0D1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7FF11E29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9" w:type="dxa"/>
          </w:tcPr>
          <w:p w14:paraId="601EFBBC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70" w:type="dxa"/>
          </w:tcPr>
          <w:p w14:paraId="1FAC4A6B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2FAFACA9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6" w:type="dxa"/>
          </w:tcPr>
          <w:p w14:paraId="017F954F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168F96DF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1D9BB212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16" w:type="dxa"/>
          </w:tcPr>
          <w:p w14:paraId="790B1F56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87" w:type="dxa"/>
          </w:tcPr>
          <w:p w14:paraId="3ABE10AE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48" w:type="dxa"/>
          </w:tcPr>
          <w:p w14:paraId="2892AAC5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9" w:type="dxa"/>
          </w:tcPr>
          <w:p w14:paraId="1DAE0CF4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11" w:type="dxa"/>
          </w:tcPr>
          <w:p w14:paraId="0DB7A362" w14:textId="77777777" w:rsidR="007A433B" w:rsidRPr="00F54792" w:rsidRDefault="007A433B" w:rsidP="00A9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7A433B" w14:paraId="7816AD2C" w14:textId="77777777" w:rsidTr="007A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FBBE8D4" w14:textId="2AF20662" w:rsidR="007A433B" w:rsidRDefault="007A433B" w:rsidP="00A92707">
            <w:r w:rsidRPr="00F54792">
              <w:rPr>
                <w:highlight w:val="yellow"/>
              </w:rPr>
              <w:t>NVF</w:t>
            </w:r>
          </w:p>
        </w:tc>
        <w:tc>
          <w:tcPr>
            <w:tcW w:w="616" w:type="dxa"/>
          </w:tcPr>
          <w:p w14:paraId="06DFE150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7" w:type="dxa"/>
          </w:tcPr>
          <w:p w14:paraId="55D37ACD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D1AE1EA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0" w:type="dxa"/>
          </w:tcPr>
          <w:p w14:paraId="7B59A6DF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14:paraId="3963A330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14:paraId="3E782AC0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230CD813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dxa"/>
          </w:tcPr>
          <w:p w14:paraId="3ECA1FF4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14:paraId="6B389F51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7" w:type="dxa"/>
          </w:tcPr>
          <w:p w14:paraId="7644D1CC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49316430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dxa"/>
          </w:tcPr>
          <w:p w14:paraId="06DD60A1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</w:tcPr>
          <w:p w14:paraId="62E838A6" w14:textId="77777777" w:rsidR="007A433B" w:rsidRDefault="007A433B" w:rsidP="00A9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36C53" w14:textId="064C50DF" w:rsidR="00106EA7" w:rsidRDefault="003479DC" w:rsidP="00A92707">
      <w:r>
        <w:t>(NS: NSAIDs, DM: DMARDS, TNF: TNF inhibitors, Inciden: incidence, Prev: prevalence, UC: ulcerative colitis, Cr: Crohn’s disease, Uv: uveitis, PsO: psoriasis, PsA: psoriatic arthritis, AR: aortic regurgitation, MI: myocardial infarction, CE: cauda equine syndrome, PF: pulmonary fibrosis, IgA: IgA nephropathy, NS: nephrotic syndrome,</w:t>
      </w:r>
      <w:r w:rsidR="003F597E">
        <w:t xml:space="preserve"> </w:t>
      </w:r>
      <w:r>
        <w:t xml:space="preserve">VF: vertebral fractures, NVF: non-vertebral fractures)   </w:t>
      </w:r>
    </w:p>
    <w:p w14:paraId="5CC34275" w14:textId="31E4B894" w:rsidR="00F54792" w:rsidRPr="00A92707" w:rsidRDefault="00F54792" w:rsidP="00A92707">
      <w:r w:rsidRPr="00F54792">
        <w:rPr>
          <w:b/>
          <w:u w:val="single"/>
        </w:rPr>
        <w:t>Conclusion</w:t>
      </w:r>
      <w:r>
        <w:t>: Patients with AS on TNF inhibitors have lower incidence of most of the disease manifestations (uveitis, IBD) and comorbidities</w:t>
      </w:r>
      <w:r w:rsidR="007F2023">
        <w:t>,</w:t>
      </w:r>
      <w:r>
        <w:t xml:space="preserve"> compared to those treated with </w:t>
      </w:r>
      <w:r w:rsidR="007F2023">
        <w:t>NSAIDs alone</w:t>
      </w:r>
      <w:bookmarkStart w:id="0" w:name="_GoBack"/>
      <w:bookmarkEnd w:id="0"/>
      <w:r>
        <w:t xml:space="preserve">.  </w:t>
      </w:r>
    </w:p>
    <w:sectPr w:rsidR="00F54792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53"/>
    <w:rsid w:val="00012841"/>
    <w:rsid w:val="0009446C"/>
    <w:rsid w:val="00106EA7"/>
    <w:rsid w:val="002335EA"/>
    <w:rsid w:val="0024373E"/>
    <w:rsid w:val="00266695"/>
    <w:rsid w:val="003479DC"/>
    <w:rsid w:val="003C5550"/>
    <w:rsid w:val="003F597E"/>
    <w:rsid w:val="004E6D40"/>
    <w:rsid w:val="00544227"/>
    <w:rsid w:val="00604466"/>
    <w:rsid w:val="006656E1"/>
    <w:rsid w:val="006F5F6A"/>
    <w:rsid w:val="00790794"/>
    <w:rsid w:val="007A433B"/>
    <w:rsid w:val="007F2023"/>
    <w:rsid w:val="00850A95"/>
    <w:rsid w:val="008946BC"/>
    <w:rsid w:val="008B6E21"/>
    <w:rsid w:val="008D5232"/>
    <w:rsid w:val="009C4553"/>
    <w:rsid w:val="00A541B1"/>
    <w:rsid w:val="00A92707"/>
    <w:rsid w:val="00AD0F8E"/>
    <w:rsid w:val="00AF76B1"/>
    <w:rsid w:val="00B14A64"/>
    <w:rsid w:val="00BA55B0"/>
    <w:rsid w:val="00C566A3"/>
    <w:rsid w:val="00D37BBD"/>
    <w:rsid w:val="00E24471"/>
    <w:rsid w:val="00E42C17"/>
    <w:rsid w:val="00EA7121"/>
    <w:rsid w:val="00F54792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chartTrackingRefBased/>
  <w15:docId w15:val="{F41F113D-2D3B-4DE0-A3A5-273A45F7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39"/>
    <w:rsid w:val="00AD0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516</Words>
  <Characters>2944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Deodhar</dc:creator>
  <cp:keywords/>
  <dc:description/>
  <cp:lastModifiedBy>Atul Deodhar</cp:lastModifiedBy>
  <cp:revision>20</cp:revision>
  <dcterms:created xsi:type="dcterms:W3CDTF">2017-05-14T02:07:00Z</dcterms:created>
  <dcterms:modified xsi:type="dcterms:W3CDTF">2017-05-14T04:48:00Z</dcterms:modified>
</cp:coreProperties>
</file>