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Interstitial Lung Disease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August 17, 2016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12:46 PM</w:t>
      </w:r>
    </w:p>
    <w:p w:rsidR="00000000" w:rsidRDefault="00D10028">
      <w:pPr>
        <w:pStyle w:val="NormalWeb"/>
        <w:spacing w:before="0" w:beforeAutospacing="0" w:after="0" w:afterAutospacing="0"/>
      </w:pPr>
      <w: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Table 1: Criteria for Defining ILD 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1277"/>
        <w:gridCol w:w="2057"/>
        <w:gridCol w:w="1294"/>
        <w:gridCol w:w="1878"/>
      </w:tblGrid>
      <w:tr w:rsidR="00000000">
        <w:trPr>
          <w:divId w:val="1799448091"/>
        </w:trPr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Definition 1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highlight w:val="red"/>
              </w:rPr>
              <w:t>Definition 2(for pfizer 2016)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Definition 3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Definition 4</w:t>
            </w:r>
          </w:p>
        </w:tc>
      </w:tr>
      <w:tr w:rsidR="00000000">
        <w:trPr>
          <w:divId w:val="1799448091"/>
        </w:trPr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 9 Code Set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 + Expanded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 + Expanded</w:t>
            </w:r>
          </w:p>
        </w:tc>
      </w:tr>
      <w:tr w:rsidR="00000000">
        <w:trPr>
          <w:divId w:val="1799448091"/>
        </w:trPr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Inpatient Claim Position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000000">
        <w:trPr>
          <w:divId w:val="1799448091"/>
        </w:trPr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ILD Diagnostic test</w:t>
            </w:r>
            <w:r>
              <w:rPr>
                <w:sz w:val="22"/>
                <w:szCs w:val="22"/>
                <w:u w:val="single"/>
              </w:rPr>
              <w:t>&lt;</w:t>
            </w:r>
            <w:r>
              <w:rPr>
                <w:sz w:val="22"/>
                <w:szCs w:val="22"/>
              </w:rPr>
              <w:t xml:space="preserve"> 90 days before or at DX date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Required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Required</w:t>
            </w:r>
          </w:p>
        </w:tc>
      </w:tr>
    </w:tbl>
    <w:p w:rsidR="00000000" w:rsidRDefault="00D1002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definitions 1 and 2, patients were designated as having incident ILD if they had 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D10028">
      <w:pPr>
        <w:pStyle w:val="NormalWeb"/>
        <w:spacing w:before="0" w:beforeAutospacing="0" w:after="0" w:afterAutospacing="0"/>
      </w:pPr>
      <w:r>
        <w:rPr>
          <w:rFonts w:ascii="Symbol" w:hAnsi="Symbol"/>
          <w:sz w:val="22"/>
          <w:szCs w:val="22"/>
        </w:rPr>
        <w:t></w:t>
      </w:r>
      <w:r>
        <w:rPr>
          <w:sz w:val="14"/>
          <w:szCs w:val="14"/>
        </w:rPr>
        <w:t xml:space="preserve">        </w:t>
      </w:r>
      <w:r>
        <w:rPr>
          <w:sz w:val="22"/>
          <w:szCs w:val="22"/>
        </w:rPr>
        <w:t xml:space="preserve">a primary diagnosis of ILD on an inpatient claim OR </w:t>
      </w:r>
    </w:p>
    <w:p w:rsidR="00000000" w:rsidRDefault="00D10028">
      <w:pPr>
        <w:pStyle w:val="NormalWeb"/>
        <w:spacing w:before="0" w:beforeAutospacing="0" w:after="0" w:afterAutospacing="0"/>
      </w:pPr>
      <w:r>
        <w:rPr>
          <w:rFonts w:ascii="Symbol" w:hAnsi="Symbol"/>
          <w:sz w:val="22"/>
          <w:szCs w:val="22"/>
        </w:rPr>
        <w:t></w:t>
      </w:r>
      <w:r>
        <w:rPr>
          <w:sz w:val="14"/>
          <w:szCs w:val="14"/>
        </w:rPr>
        <w:t>       </w:t>
      </w:r>
      <w:r>
        <w:rPr>
          <w:sz w:val="14"/>
          <w:szCs w:val="14"/>
          <w:highlight w:val="yellow"/>
        </w:rPr>
        <w:t xml:space="preserve"> (</w:t>
      </w:r>
      <w:r>
        <w:rPr>
          <w:sz w:val="22"/>
          <w:szCs w:val="22"/>
          <w:highlight w:val="yellow"/>
        </w:rPr>
        <w:t>two or more eligible diagnoses, in any position, on nondiagnostic claims in any setti</w:t>
      </w:r>
      <w:r>
        <w:rPr>
          <w:sz w:val="22"/>
          <w:szCs w:val="22"/>
        </w:rPr>
        <w:t>ng) AND (evidence of a diagnostic test for ILD in the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90 days prior to or on the same date as an ILD diagnosis) </w:t>
      </w:r>
    </w:p>
    <w:p w:rsidR="00000000" w:rsidRDefault="00D1002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In definitions 3 and 4, patients were designated as having incident ILD if they had </w:t>
      </w:r>
    </w:p>
    <w:p w:rsidR="00000000" w:rsidRDefault="00D1002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</w:pPr>
      <w:r>
        <w:rPr>
          <w:rFonts w:ascii="Symbol" w:hAnsi="Symbol"/>
          <w:sz w:val="22"/>
          <w:szCs w:val="22"/>
        </w:rPr>
        <w:t></w:t>
      </w:r>
      <w:r>
        <w:rPr>
          <w:sz w:val="14"/>
          <w:szCs w:val="14"/>
        </w:rPr>
        <w:t xml:space="preserve">        </w:t>
      </w:r>
      <w:r>
        <w:rPr>
          <w:sz w:val="22"/>
          <w:szCs w:val="22"/>
        </w:rPr>
        <w:t>any diagnosis of ILD on an inpatient claim OR</w:t>
      </w:r>
    </w:p>
    <w:p w:rsidR="00000000" w:rsidRDefault="00D10028">
      <w:pPr>
        <w:pStyle w:val="NormalWeb"/>
        <w:spacing w:before="0" w:beforeAutospacing="0" w:after="0" w:afterAutospacing="0"/>
      </w:pPr>
      <w:r>
        <w:rPr>
          <w:rFonts w:ascii="Symbol" w:hAnsi="Symbol"/>
          <w:sz w:val="22"/>
          <w:szCs w:val="22"/>
        </w:rPr>
        <w:t></w:t>
      </w:r>
      <w:r>
        <w:rPr>
          <w:sz w:val="14"/>
          <w:szCs w:val="14"/>
        </w:rPr>
        <w:t xml:space="preserve">        </w:t>
      </w:r>
      <w:r>
        <w:rPr>
          <w:sz w:val="22"/>
          <w:szCs w:val="22"/>
        </w:rPr>
        <w:t>two or more eligible diagnoses, in any position, on nondiagnostic claims in any setting</w:t>
      </w:r>
    </w:p>
    <w:p w:rsidR="00000000" w:rsidRDefault="00D1002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reader should note that ICD 9 CM diagnosis codes 516.35 – 516.6 were issued at the end of 2011 and accordingly may not have been widely used during the </w:t>
      </w:r>
      <w:r>
        <w:rPr>
          <w:rFonts w:ascii="Calibri" w:hAnsi="Calibri"/>
          <w:sz w:val="22"/>
          <w:szCs w:val="22"/>
        </w:rPr>
        <w:t>study window.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Eligible ILD</w:t>
      </w:r>
      <w:r>
        <w:rPr>
          <w:rFonts w:ascii="Calibri" w:hAnsi="Calibri"/>
          <w:sz w:val="22"/>
          <w:szCs w:val="22"/>
          <w:highlight w:val="yellow"/>
        </w:rPr>
        <w:t xml:space="preserve"> diagnostic tests</w:t>
      </w:r>
      <w:r>
        <w:rPr>
          <w:rFonts w:ascii="Calibri" w:hAnsi="Calibri"/>
          <w:sz w:val="22"/>
          <w:szCs w:val="22"/>
        </w:rPr>
        <w:t xml:space="preserve"> included either computed tomography of the thorax (CPT 71250, 71260, 71270, 71275; ICD 9 Proc 87.41 &amp; 87.42) or any lung biopsy (bronchial, pleural, lung infiltrate, lung nodule, pericardial sac) as defined i</w:t>
      </w:r>
      <w:r>
        <w:rPr>
          <w:rFonts w:ascii="Calibri" w:hAnsi="Calibri"/>
          <w:sz w:val="22"/>
          <w:szCs w:val="22"/>
        </w:rPr>
        <w:t xml:space="preserve">n Table3.  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2:  ICD 9 CM Codes Defining Interstitial Lung Disease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4"/>
        <w:gridCol w:w="1259"/>
        <w:gridCol w:w="5597"/>
      </w:tblGrid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Definition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ICD 9 CM Code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ICD 9 CM Description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Codes in the standard definition 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515.xx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Post inflammatory pulmonary fibrosis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516.30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Idiopathic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interstitial pneumonia not otherwise specified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516.31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Idiopathic pulmonary fibrosis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516.32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Idiopathic non-specific interstitial pneumonitis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516.33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Acute interstitial pneumonitis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516.34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Respiratory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bronchiolitis interstitial lung disease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516.35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Idiopathic lymphoid interstitial pneumonia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516.36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Cryptogenic organizing pneumonia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516.37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Desquamative interstitial pneumonia 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516.4x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Lymphangioleiomyomatosis (LAM)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516.5x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Adult pulmonary langerhans cell histiocytosis (PLCH)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516.6x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Interstitial lung diseases of childhood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Codes in the expanded definition 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516.8x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Other specified alveolar and parietoalveolar pneumonopathies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516.9x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Unspecified alveolar and parietoalveolar pneumonopathy</w:t>
            </w:r>
          </w:p>
        </w:tc>
      </w:tr>
      <w:tr w:rsidR="00000000">
        <w:trPr>
          <w:divId w:val="597904069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714.81</w:t>
            </w:r>
          </w:p>
        </w:tc>
        <w:tc>
          <w:tcPr>
            <w:tcW w:w="7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Rheumatoid lung</w:t>
            </w:r>
          </w:p>
        </w:tc>
      </w:tr>
    </w:tbl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 ***should we also include: 710.9 Unspecified diffuse connective tissue disease ? FX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3:  CPT Codes for Lung Biopsy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8493"/>
      </w:tblGrid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CPT Code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CPT Description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31625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Bronchoscopy, rigid or flexible, including fluoroscopic guidance, when performed; with bronchial or endobronchial biopsy(s), single or multiple sites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31628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Bronchoscopy, rigid or flexible, including fluoroscopic guidance, when performed; 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transbronchial lung biopsy(s), single lobe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31629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Bronchoscopy, rigid or flexible, including fluoroscopic guidance, when performed; with transbronchial needle aspiration biopsy(s), trachea, main stem and/or lobar bronchus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31632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Bronchoscopy, rigid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or flexible, including fluoroscopic guidance, when performed; with transbronchial lung biopsy(s), each additional lobe 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31633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Bronchoscopy, rigid or flexible, including fluoroscopic guidance, when performed; 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transbronchial needle aspiration biopsy(s), each additional 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32095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Thoracotomy, limited, for biopsy of lung or pleura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32096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Thoracotomy, with diagnostic biopsy of lung infiltrate(s) (e.g., wedge, incisional), unilateral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32097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Thoracotomy, wi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th diagnostic biopsy of lung nodule/mass (e.g., wedge, incisional), unilateral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32098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Thoracotomy, with biopsy(ies) of pleura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32400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Biopsy, pleura; percutaneous needle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32405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Biopsy, lung or mediastinum, percutaneous needle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32604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Thoracoscopy, diagnostic (separate procedure); pericardial sac, with biopsy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32606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Thoracoscopy, diagnostic (separate procedure); mediastinal space, with biopsy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32607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Thoracoscopy; with diagnostic biopsy of lung infiltrate (e.g., wedge, incisional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), unilateral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32608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Thoracoscopy; with diagnostic biopsy of lung nodule/mass (e.g., wedge, incisional), unilateral</w:t>
            </w:r>
          </w:p>
        </w:tc>
      </w:tr>
      <w:tr w:rsidR="00000000">
        <w:trPr>
          <w:divId w:val="32967403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32609</w:t>
            </w:r>
          </w:p>
        </w:tc>
        <w:tc>
          <w:tcPr>
            <w:tcW w:w="10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Thoracoscopy; with biopsy(ies) of pleura</w:t>
            </w:r>
          </w:p>
        </w:tc>
      </w:tr>
    </w:tbl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secondary study </w:t>
      </w:r>
      <w:r>
        <w:rPr>
          <w:rFonts w:ascii="Calibri" w:hAnsi="Calibri"/>
          <w:sz w:val="22"/>
          <w:szCs w:val="22"/>
        </w:rPr>
        <w:t>outcome was the frequency of specific types of ILD complications in patients with a history of ILD during baseline.  Eligible complications included a hospitalization with a primary diagnosis of ILD, hospitalization with a primary diagnosis of pneumonia (4</w:t>
      </w:r>
      <w:r>
        <w:rPr>
          <w:rFonts w:ascii="Calibri" w:hAnsi="Calibri"/>
          <w:sz w:val="22"/>
          <w:szCs w:val="22"/>
        </w:rPr>
        <w:t>80.xx-486.xx; 487.0x), initiation of home based oxygen (Table 4) or the occurrence of a lung transplant (Table 5).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Existing ILD disease was defined as presented in Table1, using all available claims history.  Use of oxygen was considered new if there was</w:t>
      </w:r>
      <w:r>
        <w:rPr>
          <w:rFonts w:ascii="Calibri" w:hAnsi="Calibri"/>
          <w:sz w:val="22"/>
          <w:szCs w:val="22"/>
        </w:rPr>
        <w:t xml:space="preserve"> no evidence of oxygen use during baseline as defined either by issuance of an oxygen related device or the presence of an ICD 9 CM diagnostic code suggesting either dependence on supplemental oxygen or long-term oxygen therapy (V46.2).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4:  HCPCS P</w:t>
      </w:r>
      <w:r>
        <w:rPr>
          <w:rFonts w:ascii="Calibri" w:hAnsi="Calibri"/>
          <w:b/>
          <w:bCs/>
          <w:sz w:val="22"/>
          <w:szCs w:val="22"/>
        </w:rPr>
        <w:t>rocedures Codes, Home Based Oxygen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8078"/>
      </w:tblGrid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HCPCS  Code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HCPCS Long Description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A4606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probe for use with oximeter device, replacement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A4608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Transtracheal oxygen catheter, each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A4615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Cannula, nasal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A4616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Tubing (oxygen), per foot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A4619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Face tent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A4620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Variable concentration mask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E0424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Stationary compressed gaseous oxygen system, rental; includes container,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E0425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Stationary compressed gas system, purchase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E0430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gaseous oxygen system, purchase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E0431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gaseous oxygen system, rental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E0433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liquid oxygen system, rental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E0434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liquid oxygen system, rental; includes portable container, supply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E0435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Portable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liquid oxygen system, purchase; includes portable container, supply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E0439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Stationary liquid oxygen system, rental; includes container, contents,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E0440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Stationary liquid oxygen system, purchase; includes use of reservoir, contents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E0441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Stationary oxygen contents, gaseous, 1 month's supply = 1 unit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E0442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Stationary oxygen contents, liquid, 1 month's supply = 1 unit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E0443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oxygen contents, gaseous, 1 month's supply = 1 unit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E0444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Portable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oxygen contents, liquid, 1 month's supply = 1 unit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E0446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Topical oxygen delivery system, not otherwise specified, includes all supplies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E0455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tent, excluding croup or pediatric tents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E0550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Humidifier,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durable for extensive supp humidification during IPPB trt or O2 delivery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E0560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Humidifier, durable for supp humidification during IPPB treatment or O2 delivery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E0580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Nebulizer, with compressor, durable, for use with regulator or flowmeter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E1353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Regulator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E1354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accessory, wheeled cart for portable cylinder or portable concentrator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E1356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accessory, battery pack/cartridge for portable concentrator, any type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E1357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Oxygen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accessory, battery charger for portable concentrator, any type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E1358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accessory, dc power adapter for portable concentrator, any type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E1390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Oxygen concentrator, single delivery port 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E1391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Oxygen concentrator, dual delivery port 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E1392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oxygen concentrator, rental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K0738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gaseous oxygen system, rental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K0740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Repair or nonroutine service for oxygen equipment 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K0741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gaseous oxygen system, rental, includes portable container, regulator,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K0742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Portable oxygen contents, gaseous, 1 month's supply = 1 unit, for cluster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S8120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contents, gaseous, 1 unit equals 1 cubic foot</w:t>
            </w:r>
          </w:p>
        </w:tc>
      </w:tr>
      <w:tr w:rsidR="00000000">
        <w:trPr>
          <w:divId w:val="1956521526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S8121</w:t>
            </w:r>
          </w:p>
        </w:tc>
        <w:tc>
          <w:tcPr>
            <w:tcW w:w="10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Oxygen contents, liquid, 1 unit equals 1 pound</w:t>
            </w:r>
          </w:p>
        </w:tc>
      </w:tr>
    </w:tbl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Table5:  Procedures Codes for Lung Transplantation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891"/>
        <w:gridCol w:w="7357"/>
      </w:tblGrid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Code Type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Code Description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32850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Donor pneumonectomy(s) (including cold preservation), from cadaver donor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32851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Lung transplant, single; without cardiopulmonary bypass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32852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Lung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transplant, single; with cardiopulmonary bypass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32853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Lung transplant, double (bilateral sequential or en bloc); without cardiopulmonary bypass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32854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Lung transplant, double (bilateral sequential or en bloc); with cardiopulmonary bypa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ss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32855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Backbench standard preparation of cadaver donor lung allograft prior to transplantation, including dissection of allograft from surrounding soft tissues to prepare pulmonary venous/atrial cuff, pulmonary artery, and bronchus; unilateral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32856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Backbench standard preparation of cadaver donor lung allograft prior to transplantation, including dissection of allograft from surrounding soft tissues to prepare pulmonary venous/atrial cuff, pulmonary artery, and bronchus; bilateral 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33935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Heart-lung transplant with recipient cardiectomy, pneumonectomy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HCPCS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S2060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Lobar lung transplantation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HCPCS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S2061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Donor lobectomy (lung) for transplantation, living donor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ICD 9 PROC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33.50 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Lung transplantation, NOS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ICD 9 PROC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33.51 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Unilateral lung transplantation</w:t>
            </w:r>
          </w:p>
        </w:tc>
      </w:tr>
      <w:tr w:rsidR="00000000">
        <w:trPr>
          <w:divId w:val="757869059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ICD 9 PROC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33.52 </w:t>
            </w:r>
          </w:p>
        </w:tc>
        <w:tc>
          <w:tcPr>
            <w:tcW w:w="9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Bilateral lung transplantation</w:t>
            </w:r>
          </w:p>
        </w:tc>
      </w:tr>
    </w:tbl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Curtis et al. Arthritis Research &amp; Therapy (2015) 17:319    DOI 10.1186/s13075-015-0835-7 </w:t>
      </w:r>
    </w:p>
    <w:p w:rsidR="00000000" w:rsidRDefault="00D10028">
      <w:pPr>
        <w:pStyle w:val="NormalWeb"/>
        <w:spacing w:before="0" w:beforeAutospacing="0" w:after="0" w:afterAutospacing="0"/>
      </w:pPr>
      <w: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Definition from SABER 1 obsolete</w:t>
      </w:r>
      <w:r>
        <w:rPr>
          <w:rFonts w:ascii="Calibri" w:hAnsi="Calibri"/>
          <w:sz w:val="22"/>
          <w:szCs w:val="22"/>
        </w:rPr>
        <w:t xml:space="preserve"> 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1607"/>
        <w:gridCol w:w="3333"/>
        <w:gridCol w:w="2484"/>
      </w:tblGrid>
      <w:tr w:rsidR="00000000">
        <w:trPr>
          <w:divId w:val="75828155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Interstitial Lung Disease (ILD)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ICD-9-CM </w:t>
            </w:r>
          </w:p>
        </w:tc>
        <w:tc>
          <w:tcPr>
            <w:tcW w:w="3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Algorithm / Definition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Remarks / other definitions</w:t>
            </w:r>
          </w:p>
        </w:tc>
      </w:tr>
      <w:tr w:rsidR="00000000">
        <w:trPr>
          <w:divId w:val="75828155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ILD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515, 516.3, 516.8, 518.89</w:t>
            </w:r>
          </w:p>
        </w:tc>
        <w:tc>
          <w:tcPr>
            <w:tcW w:w="3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&gt;2 inpatient or outpatient ICD-9 codes (515, 516.3, 516.8, and 518.89) given &gt; 7 days apart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ppv =0.63 (95% CI, 0.60-0</w:t>
            </w:r>
            <w:r>
              <w:rPr>
                <w:rFonts w:ascii="Arial" w:hAnsi="Arial" w:cs="Arial"/>
                <w:sz w:val="16"/>
                <w:szCs w:val="16"/>
              </w:rPr>
              <w:t>.65)  Herrinton L et al.  PDS 2012</w:t>
            </w:r>
          </w:p>
        </w:tc>
      </w:tr>
    </w:tbl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0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199"/>
        <w:gridCol w:w="1050"/>
        <w:gridCol w:w="2327"/>
      </w:tblGrid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icd9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description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disease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type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515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Postinflammatory pulmonary fibrosis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51630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Idiopathic interstitial pneumonia, not otherwise specified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51631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Idiopathic pulmonary fibrosis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51632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Idiopathic non-specific interstitial pneumonitis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51633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Acute interstitial pneumonitis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51634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Respiratory bronchiolitis interstitial lung disease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51635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Idiopathic lymphoid interstitial pneumonia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51636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Cryptogenic organizing pneumonia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51637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Desquamative interstitial pneumonia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5168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Other specified alveolar and parietoalveolar pneumonopathies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  <w:tr w:rsidR="00000000">
        <w:trPr>
          <w:divId w:val="1549142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51889</w:t>
            </w:r>
          </w:p>
        </w:tc>
        <w:tc>
          <w:tcPr>
            <w:tcW w:w="5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Other diseases of lung, not elsewhere classified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100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BFE"/>
              </w:rPr>
              <w:t>Interstitial Lung Disease</w:t>
            </w:r>
          </w:p>
        </w:tc>
      </w:tr>
    </w:tbl>
    <w:p w:rsidR="00000000" w:rsidRDefault="00D10028">
      <w:pPr>
        <w:divId w:val="1549142877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10028"/>
    <w:rsid w:val="00D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Chen</dc:creator>
  <cp:keywords/>
  <dc:description/>
  <cp:lastModifiedBy>Lang Chen</cp:lastModifiedBy>
  <cp:revision>2</cp:revision>
  <dcterms:created xsi:type="dcterms:W3CDTF">2017-05-15T17:21:00Z</dcterms:created>
  <dcterms:modified xsi:type="dcterms:W3CDTF">2017-05-15T17:21:00Z</dcterms:modified>
</cp:coreProperties>
</file>