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XX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7B5013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233545" w:rsidRDefault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proofErr w:type="spellStart"/>
      <w:r>
        <w:rPr>
          <w:rFonts w:ascii="Arial" w:hAnsi="Arial" w:cs="Arial"/>
          <w:sz w:val="24"/>
          <w:szCs w:val="24"/>
        </w:rPr>
        <w:t>XXa</w:t>
      </w:r>
      <w:proofErr w:type="spellEnd"/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819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</w:tblGrid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 or no exposure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233545" w:rsidRDefault="00233545" w:rsidP="00233545">
      <w:r>
        <w:br w:type="page"/>
      </w:r>
    </w:p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proofErr w:type="spellStart"/>
      <w:r>
        <w:rPr>
          <w:rFonts w:ascii="Arial" w:hAnsi="Arial" w:cs="Arial"/>
          <w:sz w:val="24"/>
          <w:szCs w:val="24"/>
        </w:rPr>
        <w:t>XXb</w:t>
      </w:r>
      <w:proofErr w:type="spellEnd"/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828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</w:tblGrid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 or no exposure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233545" w:rsidRDefault="00233545" w:rsidP="00233545">
      <w:r>
        <w:br w:type="page"/>
      </w:r>
    </w:p>
    <w:p w:rsidR="00233545" w:rsidRPr="00D939D4" w:rsidRDefault="00233545" w:rsidP="00233545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proofErr w:type="spellStart"/>
      <w:r>
        <w:rPr>
          <w:rFonts w:ascii="Arial" w:hAnsi="Arial" w:cs="Arial"/>
          <w:sz w:val="24"/>
          <w:szCs w:val="24"/>
        </w:rPr>
        <w:t>XXc</w:t>
      </w:r>
      <w:proofErr w:type="spellEnd"/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819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</w:tblGrid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 or no exposure</w:t>
            </w:r>
          </w:p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3545" w:rsidTr="00233545">
        <w:tc>
          <w:tcPr>
            <w:tcW w:w="4140" w:type="dxa"/>
          </w:tcPr>
          <w:p w:rsidR="00233545" w:rsidRPr="00FF012B" w:rsidRDefault="00233545" w:rsidP="007B5013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33545" w:rsidRPr="00FF012B" w:rsidRDefault="00233545" w:rsidP="007B5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3545" w:rsidRDefault="00233545" w:rsidP="00233545">
      <w:r>
        <w:t>*using 6 month baseline period, unless otherwise indicated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463"/>
        <w:gridCol w:w="1013"/>
        <w:gridCol w:w="781"/>
        <w:gridCol w:w="1081"/>
        <w:gridCol w:w="781"/>
        <w:gridCol w:w="1081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tabs>
                <w:tab w:val="num" w:pos="600"/>
              </w:tabs>
            </w:pPr>
            <w:r w:rsidRPr="00C14764">
              <w:t>Aortic ins</w:t>
            </w:r>
            <w:r>
              <w:t>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tabs>
                <w:tab w:val="num" w:pos="600"/>
              </w:tabs>
            </w:pPr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46139B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46139B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46139B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46139B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46139B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517C46" w:rsidRDefault="00114F70" w:rsidP="00114F70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9820C6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9820C6">
        <w:rPr>
          <w:rFonts w:cs="Arial"/>
          <w:sz w:val="24"/>
          <w:szCs w:val="24"/>
        </w:rPr>
        <w:t>comorbidities</w:t>
      </w:r>
      <w:r w:rsidRPr="00517C46">
        <w:rPr>
          <w:rFonts w:cs="Arial"/>
          <w:sz w:val="24"/>
          <w:szCs w:val="24"/>
        </w:rPr>
        <w:t xml:space="preserve"> by </w:t>
      </w:r>
      <w:r w:rsidR="009820C6">
        <w:rPr>
          <w:rFonts w:cs="Arial"/>
          <w:sz w:val="24"/>
          <w:szCs w:val="24"/>
        </w:rPr>
        <w:t xml:space="preserve">data source and </w:t>
      </w:r>
      <w:r w:rsidRPr="00517C46">
        <w:rPr>
          <w:rFonts w:cs="Arial"/>
          <w:sz w:val="24"/>
          <w:szCs w:val="24"/>
        </w:rPr>
        <w:t xml:space="preserve">exposure </w:t>
      </w:r>
      <w:r w:rsidR="00FA3FF2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2757"/>
        <w:gridCol w:w="571"/>
        <w:gridCol w:w="1047"/>
        <w:gridCol w:w="1240"/>
        <w:gridCol w:w="571"/>
        <w:gridCol w:w="1047"/>
        <w:gridCol w:w="1240"/>
        <w:gridCol w:w="571"/>
        <w:gridCol w:w="1047"/>
        <w:gridCol w:w="1240"/>
      </w:tblGrid>
      <w:tr w:rsidR="009820C6" w:rsidRPr="00F3320A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27169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9820C6" w:rsidRPr="00F3320A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9820C6" w:rsidRPr="00C14764" w:rsidTr="009820C6">
        <w:tc>
          <w:tcPr>
            <w:tcW w:w="0" w:type="auto"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jc w:val="center"/>
              <w:rPr>
                <w:rFonts w:cs="Arial"/>
              </w:rPr>
            </w:pPr>
          </w:p>
        </w:tc>
      </w:tr>
      <w:tr w:rsidR="00167E68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167E68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167E68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</w:tbl>
    <w:p w:rsidR="00FA3FF2" w:rsidRDefault="00FA3FF2">
      <w:r>
        <w:br w:type="page"/>
      </w:r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1,000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2757"/>
        <w:gridCol w:w="571"/>
        <w:gridCol w:w="1047"/>
        <w:gridCol w:w="1240"/>
        <w:gridCol w:w="571"/>
        <w:gridCol w:w="1047"/>
        <w:gridCol w:w="1240"/>
        <w:gridCol w:w="571"/>
        <w:gridCol w:w="1047"/>
        <w:gridCol w:w="1240"/>
      </w:tblGrid>
      <w:tr w:rsidR="0010622D" w:rsidRPr="00F3320A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10622D" w:rsidRPr="00F3320A" w:rsidTr="007B5013">
        <w:tc>
          <w:tcPr>
            <w:tcW w:w="0" w:type="auto"/>
            <w:vMerge/>
            <w:tcBorders>
              <w:right w:val="nil"/>
            </w:tcBorders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F3320A" w:rsidRDefault="0010622D" w:rsidP="007B5013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7B5013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10622D" w:rsidRPr="00C14764" w:rsidTr="007B5013">
        <w:tc>
          <w:tcPr>
            <w:tcW w:w="0" w:type="auto"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7B5013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0622D" w:rsidRPr="00C14764" w:rsidTr="007B5013">
        <w:tc>
          <w:tcPr>
            <w:tcW w:w="0" w:type="auto"/>
            <w:tcBorders>
              <w:right w:val="nil"/>
            </w:tcBorders>
            <w:vAlign w:val="center"/>
          </w:tcPr>
          <w:p w:rsidR="0010622D" w:rsidRPr="00C14764" w:rsidRDefault="0010622D" w:rsidP="007B5013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7B5013">
            <w:pPr>
              <w:jc w:val="center"/>
              <w:rPr>
                <w:rFonts w:cs="Arial"/>
              </w:rPr>
            </w:pPr>
          </w:p>
        </w:tc>
      </w:tr>
      <w:tr w:rsidR="00167E68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167E68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7B501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167E68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  <w:tr w:rsidR="00167E68" w:rsidRPr="00C14764" w:rsidTr="007B501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167E68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167E68">
            <w:pPr>
              <w:jc w:val="center"/>
              <w:rPr>
                <w:rFonts w:cs="Arial"/>
              </w:rPr>
            </w:pPr>
          </w:p>
        </w:tc>
      </w:tr>
    </w:tbl>
    <w:p w:rsidR="00FA3FF2" w:rsidRPr="00517C46" w:rsidRDefault="00FA3FF2" w:rsidP="00167E68">
      <w:bookmarkStart w:id="0" w:name="_GoBack"/>
      <w:bookmarkEnd w:id="0"/>
    </w:p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25663"/>
    <w:rsid w:val="00233545"/>
    <w:rsid w:val="00237716"/>
    <w:rsid w:val="00271690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374CC"/>
    <w:rsid w:val="00447C31"/>
    <w:rsid w:val="0046139B"/>
    <w:rsid w:val="00471150"/>
    <w:rsid w:val="0047773D"/>
    <w:rsid w:val="00493938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612A"/>
    <w:rsid w:val="008C0F4F"/>
    <w:rsid w:val="008C3B05"/>
    <w:rsid w:val="008D7A26"/>
    <w:rsid w:val="009141B2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24AD"/>
    <w:rsid w:val="00DC7AFE"/>
    <w:rsid w:val="00DD6806"/>
    <w:rsid w:val="00E21D45"/>
    <w:rsid w:val="00E27B0F"/>
    <w:rsid w:val="00E46955"/>
    <w:rsid w:val="00E85479"/>
    <w:rsid w:val="00EA5688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16</cp:revision>
  <dcterms:created xsi:type="dcterms:W3CDTF">2017-05-19T16:38:00Z</dcterms:created>
  <dcterms:modified xsi:type="dcterms:W3CDTF">2017-05-25T15:59:00Z</dcterms:modified>
</cp:coreProperties>
</file>