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2101ED91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FF7157">
        <w:rPr>
          <w:b/>
          <w:highlight w:val="yellow"/>
        </w:rPr>
        <w:t>2</w:t>
      </w:r>
      <w:r w:rsidR="00CC224A">
        <w:rPr>
          <w:b/>
          <w:highlight w:val="yellow"/>
        </w:rPr>
        <w:t>2</w:t>
      </w:r>
      <w:r w:rsidR="00201CD8">
        <w:rPr>
          <w:b/>
          <w:highlight w:val="yellow"/>
        </w:rPr>
        <w:t>26</w:t>
      </w:r>
      <w:r w:rsidR="00EF0686" w:rsidRPr="003A3483">
        <w:rPr>
          <w:b/>
          <w:highlight w:val="yellow"/>
        </w:rPr>
        <w:t xml:space="preserve">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commentRangeStart w:id="0"/>
      <w:r w:rsidR="00EF0686" w:rsidRPr="00CC224A">
        <w:rPr>
          <w:b/>
          <w:color w:val="FF0000"/>
          <w:highlight w:val="yellow"/>
        </w:rPr>
        <w:t>2</w:t>
      </w:r>
      <w:r w:rsidR="00FF7157" w:rsidRPr="00CC224A">
        <w:rPr>
          <w:b/>
          <w:color w:val="FF0000"/>
          <w:highlight w:val="yellow"/>
        </w:rPr>
        <w:t>7</w:t>
      </w:r>
      <w:r w:rsidR="00201CD8">
        <w:rPr>
          <w:b/>
          <w:color w:val="FF0000"/>
          <w:highlight w:val="yellow"/>
        </w:rPr>
        <w:t>26</w:t>
      </w:r>
      <w:commentRangeEnd w:id="0"/>
      <w:r w:rsidR="00A925C0">
        <w:rPr>
          <w:rStyle w:val="CommentReference"/>
        </w:rPr>
        <w:commentReference w:id="0"/>
      </w:r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</w:t>
      </w:r>
      <w:commentRangeStart w:id="1"/>
      <w:r w:rsidR="00EF17F3">
        <w:rPr>
          <w:b/>
        </w:rPr>
        <w:t>EAMs</w:t>
      </w:r>
      <w:commentRangeEnd w:id="1"/>
      <w:r w:rsidR="006C7FB4">
        <w:rPr>
          <w:rStyle w:val="CommentReference"/>
        </w:rPr>
        <w:commentReference w:id="1"/>
      </w:r>
      <w:r w:rsidR="00EF17F3">
        <w:rPr>
          <w:b/>
        </w:rPr>
        <w:t>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proofErr w:type="spellStart"/>
      <w:r>
        <w:t>Suruki</w:t>
      </w:r>
      <w:proofErr w:type="spellEnd"/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3DBF53C9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p</w:t>
      </w:r>
      <w:r w:rsidR="00D37BBD">
        <w:rPr>
          <w:rFonts w:asciiTheme="minorHAnsi" w:hAnsiTheme="minorHAnsi" w:cs="Arial"/>
          <w:sz w:val="22"/>
          <w:szCs w:val="22"/>
        </w:rPr>
        <w:t xml:space="preserve">atients with </w:t>
      </w:r>
      <w:r w:rsidR="00CC224A">
        <w:rPr>
          <w:rFonts w:asciiTheme="minorHAnsi" w:hAnsiTheme="minorHAnsi" w:cs="Arial"/>
          <w:sz w:val="22"/>
          <w:szCs w:val="22"/>
        </w:rPr>
        <w:t>AS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B24789">
        <w:rPr>
          <w:rFonts w:asciiTheme="minorHAnsi" w:hAnsiTheme="minorHAnsi" w:cs="Arial"/>
          <w:sz w:val="22"/>
          <w:szCs w:val="22"/>
        </w:rPr>
        <w:t xml:space="preserve">and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160F61B4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>therapy or prescription non-steroidal anti-inflammatory drugs (NSAIDs)</w:t>
      </w:r>
      <w:r w:rsidR="00CE72D0">
        <w:rPr>
          <w:rFonts w:asciiTheme="minorHAnsi" w:hAnsiTheme="minorHAnsi" w:cs="Arial"/>
          <w:sz w:val="22"/>
          <w:szCs w:val="22"/>
        </w:rPr>
        <w:t xml:space="preserve"> only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periods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>and 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commentRangeStart w:id="2"/>
      <w:commentRangeStart w:id="3"/>
      <w:r w:rsidR="00552BE3">
        <w:rPr>
          <w:rFonts w:cs="Arial"/>
        </w:rPr>
        <w:t>Table 1</w:t>
      </w:r>
      <w:commentRangeEnd w:id="2"/>
      <w:r w:rsidR="00552BE3">
        <w:rPr>
          <w:rStyle w:val="CommentReference"/>
        </w:rPr>
        <w:commentReference w:id="2"/>
      </w:r>
      <w:commentRangeEnd w:id="3"/>
      <w:r w:rsidR="00BC273C">
        <w:rPr>
          <w:rStyle w:val="CommentReference"/>
        </w:rPr>
        <w:commentReference w:id="3"/>
      </w:r>
      <w:r w:rsidR="00552BE3">
        <w:rPr>
          <w:rFonts w:cs="Arial"/>
        </w:rPr>
        <w:t xml:space="preserve">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CE72D0">
        <w:rPr>
          <w:rFonts w:cs="Arial"/>
        </w:rPr>
        <w:t xml:space="preserve">. </w:t>
      </w:r>
      <w:r w:rsidR="00552BE3">
        <w:rPr>
          <w:rFonts w:cs="Arial"/>
        </w:rPr>
        <w:t xml:space="preserve">Table </w:t>
      </w:r>
      <w:commentRangeStart w:id="4"/>
      <w:commentRangeStart w:id="5"/>
      <w:r w:rsidR="00552BE3">
        <w:rPr>
          <w:rFonts w:cs="Arial"/>
        </w:rPr>
        <w:t>2</w:t>
      </w:r>
      <w:commentRangeEnd w:id="4"/>
      <w:r w:rsidR="00552BE3">
        <w:rPr>
          <w:rStyle w:val="CommentReference"/>
        </w:rPr>
        <w:commentReference w:id="4"/>
      </w:r>
      <w:commentRangeEnd w:id="5"/>
      <w:r w:rsidR="00552BE3">
        <w:rPr>
          <w:rStyle w:val="CommentReference"/>
        </w:rPr>
        <w:commentReference w:id="5"/>
      </w:r>
      <w:r w:rsidR="00552BE3">
        <w:rPr>
          <w:rFonts w:cs="Arial"/>
        </w:rPr>
        <w:t xml:space="preserve">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</w:t>
      </w:r>
      <w:proofErr w:type="spellStart"/>
      <w:r w:rsidR="00EF17F3">
        <w:t>TNFi</w:t>
      </w:r>
      <w:proofErr w:type="spellEnd"/>
      <w:r w:rsidR="00EF17F3">
        <w:t xml:space="preserve">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6229BA71" w14:textId="3672532C" w:rsidR="007A54DB" w:rsidRDefault="007A54DB" w:rsidP="007A54DB">
      <w:r w:rsidRPr="00F54792">
        <w:rPr>
          <w:b/>
          <w:u w:val="single"/>
        </w:rPr>
        <w:t>Conclusion</w:t>
      </w:r>
      <w:r>
        <w:t xml:space="preserve">: </w:t>
      </w:r>
      <w:r w:rsidR="00EF17F3">
        <w:t>This is</w:t>
      </w:r>
      <w:r>
        <w:t xml:space="preserve"> the largest investigation of the prevalence </w:t>
      </w:r>
      <w:r w:rsidR="00F145BD">
        <w:t xml:space="preserve">&amp; incidence </w:t>
      </w:r>
      <w:r>
        <w:t xml:space="preserve">of comorbidities and </w:t>
      </w:r>
      <w:r w:rsidR="00CE72D0">
        <w:t>EAM</w:t>
      </w:r>
      <w:r w:rsidR="00EF17F3">
        <w:t>s</w:t>
      </w:r>
      <w:r>
        <w:t xml:space="preserve"> of AS within the US</w:t>
      </w:r>
      <w:r w:rsidR="00F145BD">
        <w:t>.</w:t>
      </w:r>
      <w:r>
        <w:t xml:space="preserve"> </w:t>
      </w:r>
      <w:r w:rsidR="00806FB3">
        <w:t xml:space="preserve"> Several limitations make</w:t>
      </w:r>
      <w:r w:rsidR="00685D1B">
        <w:t xml:space="preserve"> </w:t>
      </w:r>
      <w:r w:rsidR="00806FB3">
        <w:t xml:space="preserve">our findings </w:t>
      </w:r>
      <w:r w:rsidR="00685D1B">
        <w:t xml:space="preserve">not definitive, </w:t>
      </w:r>
      <w:r w:rsidR="00806FB3">
        <w:t xml:space="preserve">but </w:t>
      </w:r>
      <w:r w:rsidR="00CE72D0">
        <w:t xml:space="preserve">suggest that </w:t>
      </w:r>
      <w:commentRangeStart w:id="6"/>
      <w:commentRangeStart w:id="7"/>
      <w:proofErr w:type="spellStart"/>
      <w:r>
        <w:t>TNFi</w:t>
      </w:r>
      <w:proofErr w:type="spellEnd"/>
      <w:r>
        <w:t xml:space="preserve"> may be </w:t>
      </w:r>
      <w:r w:rsidR="00685D1B">
        <w:t>disease modifying in AS</w:t>
      </w:r>
      <w:r>
        <w:t xml:space="preserve">. </w:t>
      </w:r>
      <w:commentRangeEnd w:id="6"/>
      <w:r>
        <w:rPr>
          <w:rStyle w:val="CommentReference"/>
        </w:rPr>
        <w:commentReference w:id="6"/>
      </w:r>
      <w:commentRangeEnd w:id="7"/>
      <w:r w:rsidR="00F145BD">
        <w:rPr>
          <w:rStyle w:val="CommentReference"/>
        </w:rPr>
        <w:commentReference w:id="7"/>
      </w:r>
    </w:p>
    <w:p w14:paraId="3CF64823" w14:textId="77777777" w:rsidR="007A54DB" w:rsidRDefault="007A54DB" w:rsidP="00A92707">
      <w:pPr>
        <w:rPr>
          <w:rFonts w:cs="Arial"/>
        </w:rPr>
      </w:pPr>
    </w:p>
    <w:p w14:paraId="4A51CC69" w14:textId="2CB7CA86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lastRenderedPageBreak/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commentRangeStart w:id="8"/>
      <w:r w:rsidR="00EB2B71">
        <w:rPr>
          <w:rFonts w:cs="Arial"/>
          <w:bCs/>
        </w:rPr>
        <w:t xml:space="preserve">per 100 </w:t>
      </w:r>
      <w:commentRangeStart w:id="9"/>
      <w:commentRangeStart w:id="10"/>
      <w:commentRangeStart w:id="11"/>
      <w:r w:rsidRPr="00A92707">
        <w:rPr>
          <w:rFonts w:cs="Arial"/>
          <w:bCs/>
        </w:rPr>
        <w:t>treatment exposures</w:t>
      </w:r>
      <w:commentRangeEnd w:id="9"/>
      <w:r w:rsidR="001E66C0">
        <w:rPr>
          <w:rStyle w:val="CommentReference"/>
        </w:rPr>
        <w:commentReference w:id="9"/>
      </w:r>
      <w:commentRangeEnd w:id="10"/>
      <w:commentRangeEnd w:id="11"/>
      <w:r w:rsidR="00476CF3">
        <w:rPr>
          <w:rFonts w:cs="Arial"/>
          <w:bCs/>
        </w:rPr>
        <w:t>)</w:t>
      </w:r>
      <w:r w:rsidR="00F81E11">
        <w:rPr>
          <w:rStyle w:val="CommentReference"/>
        </w:rPr>
        <w:commentReference w:id="10"/>
      </w:r>
      <w:r w:rsidR="00C053CA">
        <w:rPr>
          <w:rStyle w:val="CommentReference"/>
        </w:rPr>
        <w:commentReference w:id="11"/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  <w:commentRangeEnd w:id="8"/>
      <w:r w:rsidR="005A5C13">
        <w:rPr>
          <w:rStyle w:val="CommentReference"/>
        </w:rPr>
        <w:commentReference w:id="8"/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7A54DB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7A54DB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7A54DB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7A54DB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627" w:type="dxa"/>
            <w:gridSpan w:val="3"/>
          </w:tcPr>
          <w:p w14:paraId="7B164A39" w14:textId="77777777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7A54DB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7A54DB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7A54DB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5D3D43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29F41697" w14:textId="3A737B44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7A54DB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commentRangeStart w:id="12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7A54DB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  <w:commentRangeEnd w:id="12"/>
            <w:r w:rsidR="000B3738">
              <w:rPr>
                <w:rStyle w:val="CommentReference"/>
              </w:rPr>
              <w:commentReference w:id="12"/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7A54DB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4ADAF84E" w14:textId="4D7A0FC6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7A54DB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54343283" w14:textId="6041F6A8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7A54DB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7A54DB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7A54DB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commentRangeStart w:id="13"/>
            <w:r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594" w:type="dxa"/>
            <w:vAlign w:val="center"/>
          </w:tcPr>
          <w:p w14:paraId="7F4AD089" w14:textId="77777777" w:rsidR="007C2156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7A54DB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7A54DB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7A54DB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7A54DB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7A54DB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7A54DB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7A54DB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7A54DB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7A54DB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7A54DB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7A54DB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7A54DB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7A54DB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7A54DB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7A54DB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0B3738" w:rsidRPr="007A54DB" w14:paraId="6F5B0480" w14:textId="77777777" w:rsidTr="002E1640">
        <w:tc>
          <w:tcPr>
            <w:tcW w:w="1466" w:type="dxa"/>
            <w:vAlign w:val="center"/>
          </w:tcPr>
          <w:p w14:paraId="74F2B0DD" w14:textId="7E731A53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6099619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900" w:type="dxa"/>
          </w:tcPr>
          <w:p w14:paraId="1F6F3E94" w14:textId="092BEF3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132" w:type="dxa"/>
          </w:tcPr>
          <w:p w14:paraId="09C06512" w14:textId="2252138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4F22AF2" w14:textId="7C8A8B5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900" w:type="dxa"/>
          </w:tcPr>
          <w:p w14:paraId="496663B9" w14:textId="7E479FD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058" w:type="dxa"/>
          </w:tcPr>
          <w:p w14:paraId="780C99EE" w14:textId="7051248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652" w:type="dxa"/>
          </w:tcPr>
          <w:p w14:paraId="167A249E" w14:textId="79119B2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66DB7D44" w14:textId="06DCB50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5.8</w:t>
            </w:r>
          </w:p>
        </w:tc>
        <w:tc>
          <w:tcPr>
            <w:tcW w:w="1075" w:type="dxa"/>
          </w:tcPr>
          <w:p w14:paraId="0D617891" w14:textId="07ABFA5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</w:tr>
      <w:tr w:rsidR="000B3738" w:rsidRPr="007A54DB" w14:paraId="773B069E" w14:textId="77777777" w:rsidTr="002E1640">
        <w:tc>
          <w:tcPr>
            <w:tcW w:w="1466" w:type="dxa"/>
            <w:vAlign w:val="center"/>
          </w:tcPr>
          <w:p w14:paraId="57E312E6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2644DB1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7AB836C" w14:textId="15E66A8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9DD8B2C" w14:textId="269D389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330CEA8" w14:textId="65A2575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900" w:type="dxa"/>
          </w:tcPr>
          <w:p w14:paraId="7274DB4B" w14:textId="57C3D14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058" w:type="dxa"/>
          </w:tcPr>
          <w:p w14:paraId="080DCB67" w14:textId="75680B0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52" w:type="dxa"/>
          </w:tcPr>
          <w:p w14:paraId="1440EB56" w14:textId="57888ED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900" w:type="dxa"/>
          </w:tcPr>
          <w:p w14:paraId="19910F92" w14:textId="03E2022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4.6</w:t>
            </w:r>
          </w:p>
        </w:tc>
        <w:tc>
          <w:tcPr>
            <w:tcW w:w="1075" w:type="dxa"/>
          </w:tcPr>
          <w:p w14:paraId="6D0F18E5" w14:textId="4497F49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</w:tr>
      <w:tr w:rsidR="000B3738" w:rsidRPr="007A54DB" w14:paraId="755BD5C5" w14:textId="77777777" w:rsidTr="002E1640">
        <w:tc>
          <w:tcPr>
            <w:tcW w:w="1466" w:type="dxa"/>
            <w:vAlign w:val="center"/>
          </w:tcPr>
          <w:p w14:paraId="1451F00A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579B3F2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F0E86CD" w14:textId="1625818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3B5626E9" w14:textId="5D1ACA9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731F9A93" w14:textId="7035521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1E79E2C1" w14:textId="641E96E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058" w:type="dxa"/>
          </w:tcPr>
          <w:p w14:paraId="44FCC893" w14:textId="35AB20A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652" w:type="dxa"/>
          </w:tcPr>
          <w:p w14:paraId="30A78DAA" w14:textId="4FA02EA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900" w:type="dxa"/>
          </w:tcPr>
          <w:p w14:paraId="26F27991" w14:textId="54D0CCC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075" w:type="dxa"/>
          </w:tcPr>
          <w:p w14:paraId="3F2E7C1A" w14:textId="1ADE10B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</w:tr>
      <w:tr w:rsidR="000B3738" w:rsidRPr="007A54DB" w14:paraId="33F7310E" w14:textId="77777777" w:rsidTr="002E1640">
        <w:tc>
          <w:tcPr>
            <w:tcW w:w="1466" w:type="dxa"/>
            <w:vAlign w:val="center"/>
          </w:tcPr>
          <w:p w14:paraId="26F4F709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6D6B97E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5.0</w:t>
            </w:r>
          </w:p>
        </w:tc>
        <w:tc>
          <w:tcPr>
            <w:tcW w:w="900" w:type="dxa"/>
          </w:tcPr>
          <w:p w14:paraId="41323FBD" w14:textId="11CB7DB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132" w:type="dxa"/>
          </w:tcPr>
          <w:p w14:paraId="3FC3FAE5" w14:textId="62C663A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668" w:type="dxa"/>
          </w:tcPr>
          <w:p w14:paraId="5C7CF6BC" w14:textId="2B76429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1127871" w14:textId="5739207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  <w:tc>
          <w:tcPr>
            <w:tcW w:w="1058" w:type="dxa"/>
          </w:tcPr>
          <w:p w14:paraId="7CA36156" w14:textId="6E55090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652" w:type="dxa"/>
          </w:tcPr>
          <w:p w14:paraId="22DA1BBA" w14:textId="0543856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8.3</w:t>
            </w:r>
          </w:p>
        </w:tc>
        <w:tc>
          <w:tcPr>
            <w:tcW w:w="900" w:type="dxa"/>
          </w:tcPr>
          <w:p w14:paraId="24666F3C" w14:textId="5B0922E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1075" w:type="dxa"/>
          </w:tcPr>
          <w:p w14:paraId="08C62146" w14:textId="4F18B41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</w:tr>
      <w:tr w:rsidR="000B3738" w:rsidRPr="007A54DB" w14:paraId="4DBCAC3E" w14:textId="77777777" w:rsidTr="002E1640">
        <w:tc>
          <w:tcPr>
            <w:tcW w:w="1466" w:type="dxa"/>
            <w:vAlign w:val="center"/>
          </w:tcPr>
          <w:p w14:paraId="7F713F6F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159316D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14:paraId="07FC76C1" w14:textId="27A0C30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1132" w:type="dxa"/>
          </w:tcPr>
          <w:p w14:paraId="7B648E98" w14:textId="67FB4B0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68" w:type="dxa"/>
          </w:tcPr>
          <w:p w14:paraId="5BBF5E2B" w14:textId="1A8C653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3.3</w:t>
            </w:r>
          </w:p>
        </w:tc>
        <w:tc>
          <w:tcPr>
            <w:tcW w:w="900" w:type="dxa"/>
          </w:tcPr>
          <w:p w14:paraId="578C88B0" w14:textId="001716A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1058" w:type="dxa"/>
          </w:tcPr>
          <w:p w14:paraId="4564A573" w14:textId="751D8F9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52" w:type="dxa"/>
          </w:tcPr>
          <w:p w14:paraId="412BFAA1" w14:textId="3A6A394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5.1</w:t>
            </w:r>
          </w:p>
        </w:tc>
        <w:tc>
          <w:tcPr>
            <w:tcW w:w="900" w:type="dxa"/>
          </w:tcPr>
          <w:p w14:paraId="4F3AC1C3" w14:textId="6671647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4.6</w:t>
            </w:r>
          </w:p>
        </w:tc>
        <w:tc>
          <w:tcPr>
            <w:tcW w:w="1075" w:type="dxa"/>
          </w:tcPr>
          <w:p w14:paraId="1C28366D" w14:textId="591B541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</w:tr>
      <w:tr w:rsidR="000B3738" w:rsidRPr="007A54DB" w14:paraId="08EAEFFB" w14:textId="77777777" w:rsidTr="002E1640">
        <w:tc>
          <w:tcPr>
            <w:tcW w:w="1466" w:type="dxa"/>
            <w:vAlign w:val="center"/>
          </w:tcPr>
          <w:p w14:paraId="65744C3F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41E5354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7BCB66AB" w14:textId="09B90E7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452E9E24" w14:textId="4A97117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287593D6" w14:textId="4F0CDA0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1B53A88" w14:textId="2D75DCE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60933950" w14:textId="6C816B7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0B0A9DF6" w14:textId="197CCFA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315AAF6C" w14:textId="3F2B24A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7F089FE4" w14:textId="7390AFE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0B3738" w:rsidRPr="007A54DB" w14:paraId="5A814F4E" w14:textId="77777777" w:rsidTr="002E1640">
        <w:tc>
          <w:tcPr>
            <w:tcW w:w="1466" w:type="dxa"/>
            <w:vAlign w:val="center"/>
          </w:tcPr>
          <w:p w14:paraId="3B26FA2F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104F7E8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22880B07" w14:textId="6204E5F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581BD559" w14:textId="56186D9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ED48DF3" w14:textId="4BF6A0F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7B567C37" w14:textId="1BDD819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3FE83B1F" w14:textId="0C865E9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4B30F8E4" w14:textId="587F1A6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900" w:type="dxa"/>
          </w:tcPr>
          <w:p w14:paraId="30C91A7F" w14:textId="0B264A5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075" w:type="dxa"/>
          </w:tcPr>
          <w:p w14:paraId="2E0A418B" w14:textId="03A4FDB9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</w:tr>
      <w:tr w:rsidR="000B3738" w:rsidRPr="007A54DB" w14:paraId="618348DB" w14:textId="77777777" w:rsidTr="002E1640">
        <w:tc>
          <w:tcPr>
            <w:tcW w:w="1466" w:type="dxa"/>
            <w:vAlign w:val="center"/>
          </w:tcPr>
          <w:p w14:paraId="11B51D9B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689EFBD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0E3F0078" w14:textId="597949A4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201B5AA" w14:textId="473F4D5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6A30BD5" w14:textId="66B341E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2809B263" w14:textId="7F15306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170D48CC" w14:textId="04FB267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73AE82DD" w14:textId="5226345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08DF4070" w14:textId="625FABD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075" w:type="dxa"/>
          </w:tcPr>
          <w:p w14:paraId="77B7CEBE" w14:textId="76FD8C09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0B3738" w:rsidRPr="007A54DB" w14:paraId="59ACA5FF" w14:textId="77777777" w:rsidTr="002E1640">
        <w:tc>
          <w:tcPr>
            <w:tcW w:w="1466" w:type="dxa"/>
            <w:vAlign w:val="center"/>
          </w:tcPr>
          <w:p w14:paraId="78562A72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1EEC57E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8D9712A" w14:textId="139DE19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8D73D43" w14:textId="766622C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6456077C" w14:textId="163ACFC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369F936" w14:textId="300B89D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238A6C4D" w14:textId="4CA3E93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10699E17" w14:textId="3D18E14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EE2A336" w14:textId="4699462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179C13B4" w14:textId="1059A18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</w:tr>
      <w:tr w:rsidR="000B3738" w:rsidRPr="007A54DB" w14:paraId="55A800C5" w14:textId="77777777" w:rsidTr="002E1640">
        <w:tc>
          <w:tcPr>
            <w:tcW w:w="1466" w:type="dxa"/>
            <w:vAlign w:val="center"/>
          </w:tcPr>
          <w:p w14:paraId="0EB1A5B9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169768B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482F03D" w14:textId="219EC3F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6E4720E2" w14:textId="779E656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9C57E4E" w14:textId="570BB94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688B4815" w14:textId="5235FEF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2592DFD" w14:textId="2EB01204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72460D03" w14:textId="7D5C288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46E1E96" w14:textId="473AF9E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0F980296" w14:textId="415AAC8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0B3738" w:rsidRPr="007A54DB" w14:paraId="27F95932" w14:textId="77777777" w:rsidTr="002E1640">
        <w:tc>
          <w:tcPr>
            <w:tcW w:w="1466" w:type="dxa"/>
            <w:vAlign w:val="center"/>
          </w:tcPr>
          <w:p w14:paraId="0BFEB068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commentRangeStart w:id="14"/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56A4F5D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0.7</w:t>
            </w:r>
            <w:commentRangeStart w:id="15"/>
          </w:p>
        </w:tc>
        <w:tc>
          <w:tcPr>
            <w:tcW w:w="900" w:type="dxa"/>
          </w:tcPr>
          <w:p w14:paraId="69B3EF4D" w14:textId="472AF7B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132" w:type="dxa"/>
          </w:tcPr>
          <w:p w14:paraId="36F057A2" w14:textId="3AF7C6B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668" w:type="dxa"/>
          </w:tcPr>
          <w:p w14:paraId="3D5EA297" w14:textId="4A492856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14:paraId="7290524B" w14:textId="745E9D9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commentRangeEnd w:id="15"/>
        <w:tc>
          <w:tcPr>
            <w:tcW w:w="1058" w:type="dxa"/>
          </w:tcPr>
          <w:p w14:paraId="25B2067A" w14:textId="7447DDC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652" w:type="dxa"/>
          </w:tcPr>
          <w:p w14:paraId="39AF3A48" w14:textId="18B3A0B9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9.0</w:t>
            </w:r>
          </w:p>
        </w:tc>
        <w:tc>
          <w:tcPr>
            <w:tcW w:w="900" w:type="dxa"/>
          </w:tcPr>
          <w:p w14:paraId="125BAC55" w14:textId="5C57381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11.4</w:t>
            </w:r>
          </w:p>
        </w:tc>
        <w:tc>
          <w:tcPr>
            <w:tcW w:w="1075" w:type="dxa"/>
          </w:tcPr>
          <w:p w14:paraId="61EEF9FD" w14:textId="2D035AB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</w:tr>
      <w:commentRangeEnd w:id="14"/>
      <w:tr w:rsidR="000B3738" w:rsidRPr="007A54DB" w14:paraId="05445C20" w14:textId="77777777" w:rsidTr="002E1640">
        <w:tc>
          <w:tcPr>
            <w:tcW w:w="1466" w:type="dxa"/>
            <w:vAlign w:val="center"/>
          </w:tcPr>
          <w:p w14:paraId="53C0F648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Equina</w:t>
            </w:r>
            <w:proofErr w:type="spellEnd"/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594" w:type="dxa"/>
          </w:tcPr>
          <w:p w14:paraId="2CB4FF26" w14:textId="11D24B1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6AD2A39" w14:textId="726FA0A2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C39A93F" w14:textId="2075B20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B1E95E0" w14:textId="2BC04C9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1F6890DD" w14:textId="170382B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098A23A3" w14:textId="30DB7279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1385E448" w14:textId="7B789C8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12935D40" w14:textId="53CC8C3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075" w:type="dxa"/>
          </w:tcPr>
          <w:p w14:paraId="3A6D117B" w14:textId="73925EC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0B3738" w:rsidRPr="007A54DB" w14:paraId="54772A1D" w14:textId="77777777" w:rsidTr="002E1640">
        <w:tc>
          <w:tcPr>
            <w:tcW w:w="1466" w:type="dxa"/>
            <w:vAlign w:val="center"/>
          </w:tcPr>
          <w:p w14:paraId="49148826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392250F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543F902" w14:textId="196C56C4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0BB490C8" w14:textId="52EB3D6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2922EDF9" w14:textId="0861119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3C102E77" w14:textId="4E622E44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058" w:type="dxa"/>
          </w:tcPr>
          <w:p w14:paraId="53D3703C" w14:textId="36CEE8C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652" w:type="dxa"/>
          </w:tcPr>
          <w:p w14:paraId="718581F0" w14:textId="0F21524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900" w:type="dxa"/>
          </w:tcPr>
          <w:p w14:paraId="29D6D3B8" w14:textId="7DE20F8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075" w:type="dxa"/>
          </w:tcPr>
          <w:p w14:paraId="3184F351" w14:textId="7AEA5B6B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</w:tr>
      <w:tr w:rsidR="000B3738" w:rsidRPr="007A54DB" w14:paraId="5D96D934" w14:textId="77777777" w:rsidTr="002E1640">
        <w:tc>
          <w:tcPr>
            <w:tcW w:w="1466" w:type="dxa"/>
            <w:vAlign w:val="center"/>
          </w:tcPr>
          <w:p w14:paraId="219CFE6D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2EE350EE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2.7</w:t>
            </w:r>
          </w:p>
        </w:tc>
        <w:tc>
          <w:tcPr>
            <w:tcW w:w="900" w:type="dxa"/>
          </w:tcPr>
          <w:p w14:paraId="1364CA70" w14:textId="0158C578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132" w:type="dxa"/>
          </w:tcPr>
          <w:p w14:paraId="1CB6E19D" w14:textId="154D2FF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68" w:type="dxa"/>
          </w:tcPr>
          <w:p w14:paraId="2EF9FCFB" w14:textId="40B5D5B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3.3</w:t>
            </w:r>
          </w:p>
        </w:tc>
        <w:tc>
          <w:tcPr>
            <w:tcW w:w="900" w:type="dxa"/>
          </w:tcPr>
          <w:p w14:paraId="476B04D2" w14:textId="688EA434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2.2</w:t>
            </w:r>
          </w:p>
        </w:tc>
        <w:tc>
          <w:tcPr>
            <w:tcW w:w="1058" w:type="dxa"/>
          </w:tcPr>
          <w:p w14:paraId="6FA4CBBF" w14:textId="49128191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652" w:type="dxa"/>
          </w:tcPr>
          <w:p w14:paraId="202947F7" w14:textId="5EF6F77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7.0</w:t>
            </w:r>
          </w:p>
        </w:tc>
        <w:tc>
          <w:tcPr>
            <w:tcW w:w="900" w:type="dxa"/>
          </w:tcPr>
          <w:p w14:paraId="6ABA7FA8" w14:textId="07EED8D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5.1</w:t>
            </w:r>
          </w:p>
        </w:tc>
        <w:tc>
          <w:tcPr>
            <w:tcW w:w="1075" w:type="dxa"/>
          </w:tcPr>
          <w:p w14:paraId="0FC04153" w14:textId="43D9025F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2.0</w:t>
            </w:r>
          </w:p>
        </w:tc>
      </w:tr>
      <w:tr w:rsidR="000B3738" w:rsidRPr="007A54DB" w14:paraId="324DF913" w14:textId="77777777" w:rsidTr="002E1640">
        <w:tc>
          <w:tcPr>
            <w:tcW w:w="1466" w:type="dxa"/>
            <w:vAlign w:val="center"/>
          </w:tcPr>
          <w:p w14:paraId="44BF546C" w14:textId="77777777" w:rsidR="000B3738" w:rsidRPr="007A54DB" w:rsidRDefault="000B3738" w:rsidP="000B3738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7220693A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5.2</w:t>
            </w:r>
          </w:p>
        </w:tc>
        <w:tc>
          <w:tcPr>
            <w:tcW w:w="900" w:type="dxa"/>
          </w:tcPr>
          <w:p w14:paraId="2A9F2A0B" w14:textId="0A4D0C25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132" w:type="dxa"/>
          </w:tcPr>
          <w:p w14:paraId="371CA942" w14:textId="1428067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68" w:type="dxa"/>
          </w:tcPr>
          <w:p w14:paraId="61962AD5" w14:textId="7381AA6D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900" w:type="dxa"/>
          </w:tcPr>
          <w:p w14:paraId="58F60FC2" w14:textId="10F882D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4.0</w:t>
            </w:r>
          </w:p>
        </w:tc>
        <w:tc>
          <w:tcPr>
            <w:tcW w:w="1058" w:type="dxa"/>
          </w:tcPr>
          <w:p w14:paraId="72C77245" w14:textId="7037A23C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652" w:type="dxa"/>
          </w:tcPr>
          <w:p w14:paraId="6877B760" w14:textId="417F2FC0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11.4</w:t>
            </w:r>
          </w:p>
        </w:tc>
        <w:tc>
          <w:tcPr>
            <w:tcW w:w="900" w:type="dxa"/>
          </w:tcPr>
          <w:p w14:paraId="53C2D6E2" w14:textId="0AA1BA13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7.7</w:t>
            </w:r>
          </w:p>
        </w:tc>
        <w:tc>
          <w:tcPr>
            <w:tcW w:w="1075" w:type="dxa"/>
          </w:tcPr>
          <w:p w14:paraId="74BA835A" w14:textId="4388A467" w:rsidR="000B3738" w:rsidRPr="000B3738" w:rsidRDefault="000B3738" w:rsidP="000B3738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</w:tr>
      <w:tr w:rsidR="007A54DB" w:rsidRPr="007A54DB" w14:paraId="5E9FF4FE" w14:textId="77777777" w:rsidTr="005D3D43">
        <w:tc>
          <w:tcPr>
            <w:tcW w:w="1466" w:type="dxa"/>
            <w:vAlign w:val="center"/>
          </w:tcPr>
          <w:p w14:paraId="19F7C57A" w14:textId="77777777" w:rsidR="001A32EE" w:rsidRPr="007A54DB" w:rsidRDefault="001A32EE" w:rsidP="005D3D43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  <w:vAlign w:val="center"/>
          </w:tcPr>
          <w:p w14:paraId="515F9064" w14:textId="74AAA0C5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11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.3</w:t>
            </w:r>
          </w:p>
        </w:tc>
        <w:tc>
          <w:tcPr>
            <w:tcW w:w="900" w:type="dxa"/>
            <w:vAlign w:val="center"/>
          </w:tcPr>
          <w:p w14:paraId="5A333993" w14:textId="29E3B425" w:rsidR="001A32EE" w:rsidRPr="000B3738" w:rsidRDefault="001A32EE" w:rsidP="008230C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8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1132" w:type="dxa"/>
            <w:vAlign w:val="center"/>
          </w:tcPr>
          <w:p w14:paraId="7A348FCB" w14:textId="620661D3" w:rsidR="001A32EE" w:rsidRPr="000B3738" w:rsidRDefault="001A32EE" w:rsidP="008230C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7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.4</w:t>
            </w:r>
          </w:p>
        </w:tc>
        <w:tc>
          <w:tcPr>
            <w:tcW w:w="668" w:type="dxa"/>
            <w:vAlign w:val="center"/>
          </w:tcPr>
          <w:p w14:paraId="4D7D6551" w14:textId="2E6ED1AB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13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.4</w:t>
            </w:r>
          </w:p>
        </w:tc>
        <w:tc>
          <w:tcPr>
            <w:tcW w:w="900" w:type="dxa"/>
            <w:vAlign w:val="center"/>
          </w:tcPr>
          <w:p w14:paraId="5EA4B6F4" w14:textId="53C85E0D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11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58" w:type="dxa"/>
            <w:vAlign w:val="center"/>
          </w:tcPr>
          <w:p w14:paraId="700BA95F" w14:textId="103247A5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11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.2</w:t>
            </w:r>
          </w:p>
        </w:tc>
        <w:tc>
          <w:tcPr>
            <w:tcW w:w="652" w:type="dxa"/>
            <w:vAlign w:val="center"/>
          </w:tcPr>
          <w:p w14:paraId="0A6D8F96" w14:textId="78E27E30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13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.4</w:t>
            </w:r>
          </w:p>
        </w:tc>
        <w:tc>
          <w:tcPr>
            <w:tcW w:w="900" w:type="dxa"/>
            <w:vAlign w:val="center"/>
          </w:tcPr>
          <w:p w14:paraId="282A1A87" w14:textId="77C8E712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10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.1</w:t>
            </w:r>
          </w:p>
        </w:tc>
        <w:tc>
          <w:tcPr>
            <w:tcW w:w="1075" w:type="dxa"/>
            <w:vAlign w:val="center"/>
          </w:tcPr>
          <w:p w14:paraId="724866E3" w14:textId="02FBF6C0" w:rsidR="001A32EE" w:rsidRPr="000B3738" w:rsidRDefault="001A32EE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8</w:t>
            </w:r>
            <w:r w:rsidR="008230C0" w:rsidRPr="000B3738">
              <w:rPr>
                <w:rFonts w:ascii="Arial Narrow" w:hAnsi="Arial Narrow" w:cs="Arial"/>
                <w:color w:val="000000"/>
                <w:sz w:val="18"/>
                <w:szCs w:val="18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1C422D1F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</w:t>
      </w:r>
      <w:bookmarkStart w:id="16" w:name="_GoBack"/>
      <w:bookmarkEnd w:id="16"/>
      <w:r w:rsidR="0016709F">
        <w:rPr>
          <w:rFonts w:cs="Arial"/>
        </w:rPr>
        <w:t xml:space="preserve">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260"/>
        <w:gridCol w:w="644"/>
        <w:gridCol w:w="616"/>
        <w:gridCol w:w="1260"/>
        <w:gridCol w:w="679"/>
        <w:gridCol w:w="581"/>
        <w:gridCol w:w="1260"/>
        <w:gridCol w:w="715"/>
      </w:tblGrid>
      <w:tr w:rsidR="005F393E" w:rsidRPr="007A54DB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7A54DB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FF03D4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commentRangeStart w:id="17"/>
            <w:r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  <w:commentRangeEnd w:id="17"/>
            <w:r w:rsidR="007C2156">
              <w:rPr>
                <w:rStyle w:val="CommentReference"/>
              </w:rPr>
              <w:commentReference w:id="17"/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7A54DB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7A54DB" w:rsidRPr="007A54DB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FF03D4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7A54DB" w14:paraId="2914F223" w14:textId="77777777" w:rsidTr="007A54DB">
        <w:tc>
          <w:tcPr>
            <w:tcW w:w="1684" w:type="dxa"/>
            <w:vAlign w:val="center"/>
          </w:tcPr>
          <w:p w14:paraId="575FC8F9" w14:textId="26A3485B" w:rsidR="005F393E" w:rsidRPr="007A54DB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78B13089" w14:textId="79609CD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7A54DB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44" w:type="dxa"/>
            <w:vAlign w:val="center"/>
          </w:tcPr>
          <w:p w14:paraId="409FEE1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30FC5AAF" w14:textId="0A6DD3FA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7A54DB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21B3BA3F" w14:textId="21A8D59C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7A54DB" w:rsidRPr="007A54DB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</w:tr>
      <w:tr w:rsidR="00F81E11" w:rsidRPr="007A54DB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7A54DB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 vs NSAIDs</w:t>
            </w:r>
            <w:r w:rsidR="005D3D43">
              <w:rPr>
                <w:rFonts w:ascii="Arial Narrow" w:hAnsi="Arial Narrow" w:cs="Arial"/>
                <w:b/>
                <w:sz w:val="18"/>
                <w:szCs w:val="18"/>
              </w:rPr>
              <w:t>/No Treatment</w:t>
            </w:r>
          </w:p>
        </w:tc>
      </w:tr>
      <w:tr w:rsidR="007A54DB" w:rsidRPr="007A54DB" w14:paraId="34B891D7" w14:textId="77777777" w:rsidTr="007A54DB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  <w:vAlign w:val="center"/>
          </w:tcPr>
          <w:p w14:paraId="65F0B84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1.3</w:t>
            </w:r>
          </w:p>
        </w:tc>
        <w:tc>
          <w:tcPr>
            <w:tcW w:w="1260" w:type="dxa"/>
            <w:vAlign w:val="center"/>
          </w:tcPr>
          <w:p w14:paraId="5EDB42A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1.9</w:t>
            </w:r>
          </w:p>
        </w:tc>
        <w:tc>
          <w:tcPr>
            <w:tcW w:w="644" w:type="dxa"/>
            <w:vAlign w:val="center"/>
          </w:tcPr>
          <w:p w14:paraId="1C98007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NS</w:t>
            </w:r>
          </w:p>
        </w:tc>
        <w:tc>
          <w:tcPr>
            <w:tcW w:w="616" w:type="dxa"/>
            <w:vAlign w:val="center"/>
          </w:tcPr>
          <w:p w14:paraId="0E56B73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1.2</w:t>
            </w:r>
          </w:p>
        </w:tc>
        <w:tc>
          <w:tcPr>
            <w:tcW w:w="1260" w:type="dxa"/>
            <w:vAlign w:val="center"/>
          </w:tcPr>
          <w:p w14:paraId="2FC0691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2.1</w:t>
            </w:r>
          </w:p>
        </w:tc>
        <w:tc>
          <w:tcPr>
            <w:tcW w:w="679" w:type="dxa"/>
            <w:vAlign w:val="center"/>
          </w:tcPr>
          <w:p w14:paraId="038D621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61F8DD0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3.2</w:t>
            </w:r>
          </w:p>
        </w:tc>
        <w:tc>
          <w:tcPr>
            <w:tcW w:w="1260" w:type="dxa"/>
            <w:vAlign w:val="center"/>
          </w:tcPr>
          <w:p w14:paraId="23452D9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6.0</w:t>
            </w:r>
          </w:p>
        </w:tc>
        <w:tc>
          <w:tcPr>
            <w:tcW w:w="715" w:type="dxa"/>
            <w:vAlign w:val="center"/>
          </w:tcPr>
          <w:p w14:paraId="2FF3BD7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5CA5AD16" w14:textId="77777777" w:rsidTr="007A54DB">
        <w:tc>
          <w:tcPr>
            <w:tcW w:w="1684" w:type="dxa"/>
            <w:vAlign w:val="center"/>
          </w:tcPr>
          <w:p w14:paraId="27BFB881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  <w:vAlign w:val="center"/>
          </w:tcPr>
          <w:p w14:paraId="0115E6B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14:paraId="4040904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0.9</w:t>
            </w:r>
          </w:p>
        </w:tc>
        <w:tc>
          <w:tcPr>
            <w:tcW w:w="644" w:type="dxa"/>
            <w:vAlign w:val="center"/>
          </w:tcPr>
          <w:p w14:paraId="07EC14E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0.03</w:t>
            </w:r>
          </w:p>
        </w:tc>
        <w:tc>
          <w:tcPr>
            <w:tcW w:w="616" w:type="dxa"/>
            <w:vAlign w:val="center"/>
          </w:tcPr>
          <w:p w14:paraId="06EA420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1.1</w:t>
            </w:r>
          </w:p>
        </w:tc>
        <w:tc>
          <w:tcPr>
            <w:tcW w:w="1260" w:type="dxa"/>
            <w:vAlign w:val="center"/>
          </w:tcPr>
          <w:p w14:paraId="63F2C54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2.4</w:t>
            </w:r>
          </w:p>
        </w:tc>
        <w:tc>
          <w:tcPr>
            <w:tcW w:w="679" w:type="dxa"/>
            <w:vAlign w:val="center"/>
          </w:tcPr>
          <w:p w14:paraId="738809D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44EF5CE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2.9</w:t>
            </w:r>
          </w:p>
        </w:tc>
        <w:tc>
          <w:tcPr>
            <w:tcW w:w="1260" w:type="dxa"/>
            <w:vAlign w:val="center"/>
          </w:tcPr>
          <w:p w14:paraId="2DCB8F8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5.9</w:t>
            </w:r>
          </w:p>
        </w:tc>
        <w:tc>
          <w:tcPr>
            <w:tcW w:w="715" w:type="dxa"/>
            <w:vAlign w:val="center"/>
          </w:tcPr>
          <w:p w14:paraId="754E6C8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1C8427C4" w14:textId="77777777" w:rsidTr="007A54DB">
        <w:tc>
          <w:tcPr>
            <w:tcW w:w="1684" w:type="dxa"/>
            <w:vAlign w:val="center"/>
          </w:tcPr>
          <w:p w14:paraId="5AEE1A8E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  <w:vAlign w:val="center"/>
          </w:tcPr>
          <w:p w14:paraId="7B7D933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14:paraId="1B84EEA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0.6</w:t>
            </w:r>
          </w:p>
        </w:tc>
        <w:tc>
          <w:tcPr>
            <w:tcW w:w="644" w:type="dxa"/>
            <w:vAlign w:val="center"/>
          </w:tcPr>
          <w:p w14:paraId="55C488D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NS</w:t>
            </w:r>
          </w:p>
        </w:tc>
        <w:tc>
          <w:tcPr>
            <w:tcW w:w="616" w:type="dxa"/>
            <w:vAlign w:val="center"/>
          </w:tcPr>
          <w:p w14:paraId="6FC333F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</w:t>
            </w:r>
          </w:p>
        </w:tc>
        <w:tc>
          <w:tcPr>
            <w:tcW w:w="1260" w:type="dxa"/>
            <w:vAlign w:val="center"/>
          </w:tcPr>
          <w:p w14:paraId="2EAE697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0.6</w:t>
            </w:r>
          </w:p>
        </w:tc>
        <w:tc>
          <w:tcPr>
            <w:tcW w:w="679" w:type="dxa"/>
            <w:vAlign w:val="center"/>
          </w:tcPr>
          <w:p w14:paraId="7411047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4BE574A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0.7</w:t>
            </w:r>
          </w:p>
        </w:tc>
        <w:tc>
          <w:tcPr>
            <w:tcW w:w="1260" w:type="dxa"/>
            <w:vAlign w:val="center"/>
          </w:tcPr>
          <w:p w14:paraId="3CB98E6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1.5</w:t>
            </w:r>
          </w:p>
        </w:tc>
        <w:tc>
          <w:tcPr>
            <w:tcW w:w="715" w:type="dxa"/>
            <w:vAlign w:val="center"/>
          </w:tcPr>
          <w:p w14:paraId="3597D2F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5FE5C1CA" w14:textId="77777777" w:rsidTr="007A54DB">
        <w:tc>
          <w:tcPr>
            <w:tcW w:w="1684" w:type="dxa"/>
            <w:vAlign w:val="center"/>
          </w:tcPr>
          <w:p w14:paraId="14F6573B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  <w:vAlign w:val="center"/>
          </w:tcPr>
          <w:p w14:paraId="497D41C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14:paraId="65517D3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644" w:type="dxa"/>
            <w:vAlign w:val="center"/>
          </w:tcPr>
          <w:p w14:paraId="023D352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0.008</w:t>
            </w:r>
          </w:p>
        </w:tc>
        <w:tc>
          <w:tcPr>
            <w:tcW w:w="616" w:type="dxa"/>
            <w:vAlign w:val="center"/>
          </w:tcPr>
          <w:p w14:paraId="012C8C9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1.9</w:t>
            </w:r>
          </w:p>
        </w:tc>
        <w:tc>
          <w:tcPr>
            <w:tcW w:w="1260" w:type="dxa"/>
            <w:vAlign w:val="center"/>
          </w:tcPr>
          <w:p w14:paraId="2519F63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3.2</w:t>
            </w:r>
          </w:p>
        </w:tc>
        <w:tc>
          <w:tcPr>
            <w:tcW w:w="679" w:type="dxa"/>
            <w:vAlign w:val="center"/>
          </w:tcPr>
          <w:p w14:paraId="700679E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437F843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5.9</w:t>
            </w:r>
          </w:p>
        </w:tc>
        <w:tc>
          <w:tcPr>
            <w:tcW w:w="1260" w:type="dxa"/>
            <w:vAlign w:val="center"/>
          </w:tcPr>
          <w:p w14:paraId="0E0147B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8.7</w:t>
            </w:r>
          </w:p>
        </w:tc>
        <w:tc>
          <w:tcPr>
            <w:tcW w:w="715" w:type="dxa"/>
            <w:vAlign w:val="center"/>
          </w:tcPr>
          <w:p w14:paraId="622927B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1C87D0F3" w14:textId="77777777" w:rsidTr="007A54DB">
        <w:tc>
          <w:tcPr>
            <w:tcW w:w="1684" w:type="dxa"/>
            <w:vAlign w:val="center"/>
          </w:tcPr>
          <w:p w14:paraId="0C485D92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Spinal Cord Compression</w:t>
            </w:r>
          </w:p>
        </w:tc>
        <w:tc>
          <w:tcPr>
            <w:tcW w:w="651" w:type="dxa"/>
            <w:vAlign w:val="center"/>
          </w:tcPr>
          <w:p w14:paraId="4F3A4ED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0.1</w:t>
            </w:r>
          </w:p>
        </w:tc>
        <w:tc>
          <w:tcPr>
            <w:tcW w:w="1260" w:type="dxa"/>
            <w:vAlign w:val="center"/>
          </w:tcPr>
          <w:p w14:paraId="0AEEFBF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644" w:type="dxa"/>
            <w:vAlign w:val="center"/>
          </w:tcPr>
          <w:p w14:paraId="0D455AF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NS</w:t>
            </w:r>
          </w:p>
        </w:tc>
        <w:tc>
          <w:tcPr>
            <w:tcW w:w="616" w:type="dxa"/>
            <w:vAlign w:val="center"/>
          </w:tcPr>
          <w:p w14:paraId="38BEC77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14:paraId="09F5DF2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0.5</w:t>
            </w:r>
          </w:p>
        </w:tc>
        <w:tc>
          <w:tcPr>
            <w:tcW w:w="679" w:type="dxa"/>
            <w:vAlign w:val="center"/>
          </w:tcPr>
          <w:p w14:paraId="387E3E8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0.01</w:t>
            </w:r>
          </w:p>
        </w:tc>
        <w:tc>
          <w:tcPr>
            <w:tcW w:w="581" w:type="dxa"/>
            <w:vAlign w:val="center"/>
          </w:tcPr>
          <w:p w14:paraId="5E324BD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14:paraId="4A95304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0.8</w:t>
            </w:r>
          </w:p>
        </w:tc>
        <w:tc>
          <w:tcPr>
            <w:tcW w:w="715" w:type="dxa"/>
            <w:vAlign w:val="center"/>
          </w:tcPr>
          <w:p w14:paraId="586B041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00B9B28B" w14:textId="77777777" w:rsidTr="007A54DB">
        <w:tc>
          <w:tcPr>
            <w:tcW w:w="1684" w:type="dxa"/>
            <w:vAlign w:val="center"/>
          </w:tcPr>
          <w:p w14:paraId="2167CCC7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  <w:vAlign w:val="center"/>
          </w:tcPr>
          <w:p w14:paraId="2627A13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3.5</w:t>
            </w:r>
          </w:p>
        </w:tc>
        <w:tc>
          <w:tcPr>
            <w:tcW w:w="1260" w:type="dxa"/>
            <w:vAlign w:val="center"/>
          </w:tcPr>
          <w:p w14:paraId="5961B52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644" w:type="dxa"/>
            <w:vAlign w:val="center"/>
          </w:tcPr>
          <w:p w14:paraId="146F1C5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616" w:type="dxa"/>
            <w:vAlign w:val="center"/>
          </w:tcPr>
          <w:p w14:paraId="059E1B0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3.8</w:t>
            </w:r>
          </w:p>
        </w:tc>
        <w:tc>
          <w:tcPr>
            <w:tcW w:w="1260" w:type="dxa"/>
            <w:vAlign w:val="center"/>
          </w:tcPr>
          <w:p w14:paraId="1D7FBFF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1.8</w:t>
            </w:r>
          </w:p>
        </w:tc>
        <w:tc>
          <w:tcPr>
            <w:tcW w:w="679" w:type="dxa"/>
            <w:vAlign w:val="center"/>
          </w:tcPr>
          <w:p w14:paraId="48F3900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42E9A36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3.8</w:t>
            </w:r>
          </w:p>
        </w:tc>
        <w:tc>
          <w:tcPr>
            <w:tcW w:w="1260" w:type="dxa"/>
            <w:vAlign w:val="center"/>
          </w:tcPr>
          <w:p w14:paraId="182E831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2.1</w:t>
            </w:r>
          </w:p>
        </w:tc>
        <w:tc>
          <w:tcPr>
            <w:tcW w:w="715" w:type="dxa"/>
            <w:vAlign w:val="center"/>
          </w:tcPr>
          <w:p w14:paraId="4B6870B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347E72D8" w14:textId="77777777" w:rsidTr="007A54DB">
        <w:tc>
          <w:tcPr>
            <w:tcW w:w="1684" w:type="dxa"/>
            <w:vAlign w:val="center"/>
          </w:tcPr>
          <w:p w14:paraId="6F033497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Crohn’s Disease</w:t>
            </w:r>
          </w:p>
        </w:tc>
        <w:tc>
          <w:tcPr>
            <w:tcW w:w="651" w:type="dxa"/>
            <w:vAlign w:val="center"/>
          </w:tcPr>
          <w:p w14:paraId="69058A9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4.7</w:t>
            </w:r>
          </w:p>
        </w:tc>
        <w:tc>
          <w:tcPr>
            <w:tcW w:w="1260" w:type="dxa"/>
            <w:vAlign w:val="center"/>
          </w:tcPr>
          <w:p w14:paraId="14A3242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644" w:type="dxa"/>
            <w:vAlign w:val="center"/>
          </w:tcPr>
          <w:p w14:paraId="51AF408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0.006</w:t>
            </w:r>
          </w:p>
        </w:tc>
        <w:tc>
          <w:tcPr>
            <w:tcW w:w="616" w:type="dxa"/>
            <w:vAlign w:val="center"/>
          </w:tcPr>
          <w:p w14:paraId="4B4AD8F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4.8</w:t>
            </w:r>
          </w:p>
        </w:tc>
        <w:tc>
          <w:tcPr>
            <w:tcW w:w="1260" w:type="dxa"/>
            <w:vAlign w:val="center"/>
          </w:tcPr>
          <w:p w14:paraId="1171C9A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2.6</w:t>
            </w:r>
          </w:p>
        </w:tc>
        <w:tc>
          <w:tcPr>
            <w:tcW w:w="679" w:type="dxa"/>
            <w:vAlign w:val="center"/>
          </w:tcPr>
          <w:p w14:paraId="5552E52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682E44A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3.9</w:t>
            </w:r>
          </w:p>
        </w:tc>
        <w:tc>
          <w:tcPr>
            <w:tcW w:w="1260" w:type="dxa"/>
            <w:vAlign w:val="center"/>
          </w:tcPr>
          <w:p w14:paraId="520C0CE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2.5</w:t>
            </w:r>
          </w:p>
        </w:tc>
        <w:tc>
          <w:tcPr>
            <w:tcW w:w="715" w:type="dxa"/>
            <w:vAlign w:val="center"/>
          </w:tcPr>
          <w:p w14:paraId="33573AF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3C1ED616" w14:textId="77777777" w:rsidTr="007A54DB">
        <w:tc>
          <w:tcPr>
            <w:tcW w:w="1684" w:type="dxa"/>
            <w:vAlign w:val="center"/>
          </w:tcPr>
          <w:p w14:paraId="7208A321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  <w:vAlign w:val="center"/>
          </w:tcPr>
          <w:p w14:paraId="506720F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2.5</w:t>
            </w:r>
          </w:p>
        </w:tc>
        <w:tc>
          <w:tcPr>
            <w:tcW w:w="1260" w:type="dxa"/>
            <w:vAlign w:val="center"/>
          </w:tcPr>
          <w:p w14:paraId="1F67DCC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644" w:type="dxa"/>
            <w:vAlign w:val="center"/>
          </w:tcPr>
          <w:p w14:paraId="6E8D713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0.05</w:t>
            </w:r>
          </w:p>
        </w:tc>
        <w:tc>
          <w:tcPr>
            <w:tcW w:w="616" w:type="dxa"/>
            <w:vAlign w:val="center"/>
          </w:tcPr>
          <w:p w14:paraId="433E452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3.1</w:t>
            </w:r>
          </w:p>
        </w:tc>
        <w:tc>
          <w:tcPr>
            <w:tcW w:w="1260" w:type="dxa"/>
            <w:vAlign w:val="center"/>
          </w:tcPr>
          <w:p w14:paraId="46EF6C6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2.1</w:t>
            </w:r>
          </w:p>
        </w:tc>
        <w:tc>
          <w:tcPr>
            <w:tcW w:w="679" w:type="dxa"/>
            <w:vAlign w:val="center"/>
          </w:tcPr>
          <w:p w14:paraId="6A1E0AE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  <w:tc>
          <w:tcPr>
            <w:tcW w:w="581" w:type="dxa"/>
            <w:vAlign w:val="center"/>
          </w:tcPr>
          <w:p w14:paraId="1D94F9D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2.4</w:t>
            </w:r>
          </w:p>
        </w:tc>
        <w:tc>
          <w:tcPr>
            <w:tcW w:w="1260" w:type="dxa"/>
            <w:vAlign w:val="center"/>
          </w:tcPr>
          <w:p w14:paraId="7741703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1.8</w:t>
            </w:r>
          </w:p>
        </w:tc>
        <w:tc>
          <w:tcPr>
            <w:tcW w:w="715" w:type="dxa"/>
            <w:vAlign w:val="center"/>
          </w:tcPr>
          <w:p w14:paraId="247BCAC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1561AB07" w14:textId="77777777" w:rsidTr="007A54DB">
        <w:tc>
          <w:tcPr>
            <w:tcW w:w="1684" w:type="dxa"/>
            <w:vAlign w:val="center"/>
          </w:tcPr>
          <w:p w14:paraId="0607E0C3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lastRenderedPageBreak/>
              <w:t>Uveitis</w:t>
            </w:r>
          </w:p>
        </w:tc>
        <w:tc>
          <w:tcPr>
            <w:tcW w:w="651" w:type="dxa"/>
            <w:vAlign w:val="center"/>
          </w:tcPr>
          <w:p w14:paraId="7746595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5.0</w:t>
            </w:r>
          </w:p>
        </w:tc>
        <w:tc>
          <w:tcPr>
            <w:tcW w:w="1260" w:type="dxa"/>
            <w:vAlign w:val="center"/>
          </w:tcPr>
          <w:p w14:paraId="60DEBA9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4.9</w:t>
            </w:r>
          </w:p>
        </w:tc>
        <w:tc>
          <w:tcPr>
            <w:tcW w:w="644" w:type="dxa"/>
            <w:vAlign w:val="center"/>
          </w:tcPr>
          <w:p w14:paraId="5BA93E7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NS</w:t>
            </w:r>
          </w:p>
        </w:tc>
        <w:tc>
          <w:tcPr>
            <w:tcW w:w="616" w:type="dxa"/>
            <w:vAlign w:val="center"/>
          </w:tcPr>
          <w:p w14:paraId="06CD847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7.6</w:t>
            </w:r>
          </w:p>
        </w:tc>
        <w:tc>
          <w:tcPr>
            <w:tcW w:w="1260" w:type="dxa"/>
            <w:vAlign w:val="center"/>
          </w:tcPr>
          <w:p w14:paraId="155F960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8.0</w:t>
            </w:r>
          </w:p>
        </w:tc>
        <w:tc>
          <w:tcPr>
            <w:tcW w:w="679" w:type="dxa"/>
            <w:vAlign w:val="center"/>
          </w:tcPr>
          <w:p w14:paraId="0F0B91B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NS</w:t>
            </w:r>
          </w:p>
        </w:tc>
        <w:tc>
          <w:tcPr>
            <w:tcW w:w="581" w:type="dxa"/>
            <w:vAlign w:val="center"/>
          </w:tcPr>
          <w:p w14:paraId="49E1E70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5.0</w:t>
            </w:r>
          </w:p>
        </w:tc>
        <w:tc>
          <w:tcPr>
            <w:tcW w:w="1260" w:type="dxa"/>
            <w:vAlign w:val="center"/>
          </w:tcPr>
          <w:p w14:paraId="7A68F7A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715" w:type="dxa"/>
            <w:vAlign w:val="center"/>
          </w:tcPr>
          <w:p w14:paraId="27F24C3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AC4D45" w:rsidRPr="007A54DB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7A54DB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7A54DB">
              <w:rPr>
                <w:rFonts w:ascii="Arial Narrow" w:hAnsi="Arial Narrow" w:cs="Arial"/>
                <w:b/>
                <w:sz w:val="18"/>
                <w:szCs w:val="18"/>
              </w:rPr>
              <w:t xml:space="preserve"> vs DMARDs</w:t>
            </w:r>
          </w:p>
        </w:tc>
      </w:tr>
      <w:tr w:rsidR="007A54DB" w:rsidRPr="007A54DB" w14:paraId="256B9882" w14:textId="77777777" w:rsidTr="007A54DB">
        <w:tc>
          <w:tcPr>
            <w:tcW w:w="1684" w:type="dxa"/>
            <w:vAlign w:val="center"/>
          </w:tcPr>
          <w:p w14:paraId="6D8D319D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  <w:vAlign w:val="center"/>
          </w:tcPr>
          <w:p w14:paraId="5CB53C8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1.3</w:t>
            </w:r>
          </w:p>
        </w:tc>
        <w:tc>
          <w:tcPr>
            <w:tcW w:w="1260" w:type="dxa"/>
            <w:vAlign w:val="center"/>
          </w:tcPr>
          <w:p w14:paraId="2FE122C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0.5</w:t>
            </w:r>
          </w:p>
        </w:tc>
        <w:tc>
          <w:tcPr>
            <w:tcW w:w="644" w:type="dxa"/>
            <w:vAlign w:val="center"/>
          </w:tcPr>
          <w:p w14:paraId="6AFFE43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0.132</w:t>
            </w:r>
          </w:p>
        </w:tc>
        <w:tc>
          <w:tcPr>
            <w:tcW w:w="616" w:type="dxa"/>
            <w:vAlign w:val="center"/>
          </w:tcPr>
          <w:p w14:paraId="75E1F29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1.2</w:t>
            </w:r>
          </w:p>
        </w:tc>
        <w:tc>
          <w:tcPr>
            <w:tcW w:w="1260" w:type="dxa"/>
            <w:vAlign w:val="center"/>
          </w:tcPr>
          <w:p w14:paraId="7825172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1.5</w:t>
            </w:r>
          </w:p>
        </w:tc>
        <w:tc>
          <w:tcPr>
            <w:tcW w:w="679" w:type="dxa"/>
            <w:vAlign w:val="center"/>
          </w:tcPr>
          <w:p w14:paraId="41F6DE5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0.279</w:t>
            </w:r>
          </w:p>
        </w:tc>
        <w:tc>
          <w:tcPr>
            <w:tcW w:w="581" w:type="dxa"/>
            <w:vAlign w:val="center"/>
          </w:tcPr>
          <w:p w14:paraId="36BD2E2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3.2</w:t>
            </w:r>
          </w:p>
        </w:tc>
        <w:tc>
          <w:tcPr>
            <w:tcW w:w="1260" w:type="dxa"/>
            <w:vAlign w:val="center"/>
          </w:tcPr>
          <w:p w14:paraId="129FCFD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4.7</w:t>
            </w:r>
          </w:p>
        </w:tc>
        <w:tc>
          <w:tcPr>
            <w:tcW w:w="715" w:type="dxa"/>
            <w:vAlign w:val="center"/>
          </w:tcPr>
          <w:p w14:paraId="17F4CD1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442A9002" w14:textId="77777777" w:rsidTr="007A54DB">
        <w:tc>
          <w:tcPr>
            <w:tcW w:w="1684" w:type="dxa"/>
            <w:vAlign w:val="center"/>
          </w:tcPr>
          <w:p w14:paraId="2BC687D2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  <w:vAlign w:val="center"/>
          </w:tcPr>
          <w:p w14:paraId="7A555FE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14:paraId="384CE7E0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</w:t>
            </w:r>
          </w:p>
        </w:tc>
        <w:tc>
          <w:tcPr>
            <w:tcW w:w="644" w:type="dxa"/>
            <w:vAlign w:val="center"/>
          </w:tcPr>
          <w:p w14:paraId="796856C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0.286</w:t>
            </w:r>
          </w:p>
        </w:tc>
        <w:tc>
          <w:tcPr>
            <w:tcW w:w="616" w:type="dxa"/>
            <w:vAlign w:val="center"/>
          </w:tcPr>
          <w:p w14:paraId="32D74C9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1.1</w:t>
            </w:r>
          </w:p>
        </w:tc>
        <w:tc>
          <w:tcPr>
            <w:tcW w:w="1260" w:type="dxa"/>
            <w:vAlign w:val="center"/>
          </w:tcPr>
          <w:p w14:paraId="08A3285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1.4</w:t>
            </w:r>
          </w:p>
        </w:tc>
        <w:tc>
          <w:tcPr>
            <w:tcW w:w="679" w:type="dxa"/>
            <w:vAlign w:val="center"/>
          </w:tcPr>
          <w:p w14:paraId="764F240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0.473</w:t>
            </w:r>
          </w:p>
        </w:tc>
        <w:tc>
          <w:tcPr>
            <w:tcW w:w="581" w:type="dxa"/>
            <w:vAlign w:val="center"/>
          </w:tcPr>
          <w:p w14:paraId="5526615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2.9</w:t>
            </w:r>
          </w:p>
        </w:tc>
        <w:tc>
          <w:tcPr>
            <w:tcW w:w="1260" w:type="dxa"/>
            <w:vAlign w:val="center"/>
          </w:tcPr>
          <w:p w14:paraId="3C70E1A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4.2</w:t>
            </w:r>
          </w:p>
        </w:tc>
        <w:tc>
          <w:tcPr>
            <w:tcW w:w="715" w:type="dxa"/>
            <w:vAlign w:val="center"/>
          </w:tcPr>
          <w:p w14:paraId="518DB37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5D44B418" w14:textId="77777777" w:rsidTr="007A54DB">
        <w:tc>
          <w:tcPr>
            <w:tcW w:w="1684" w:type="dxa"/>
            <w:vAlign w:val="center"/>
          </w:tcPr>
          <w:p w14:paraId="2FE363E9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  <w:vAlign w:val="center"/>
          </w:tcPr>
          <w:p w14:paraId="417CAA8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14:paraId="66A7B2F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</w:t>
            </w:r>
          </w:p>
        </w:tc>
        <w:tc>
          <w:tcPr>
            <w:tcW w:w="644" w:type="dxa"/>
            <w:vAlign w:val="center"/>
          </w:tcPr>
          <w:p w14:paraId="4A88D1F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0.286</w:t>
            </w:r>
          </w:p>
        </w:tc>
        <w:tc>
          <w:tcPr>
            <w:tcW w:w="616" w:type="dxa"/>
            <w:vAlign w:val="center"/>
          </w:tcPr>
          <w:p w14:paraId="7DEAF73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</w:t>
            </w:r>
          </w:p>
        </w:tc>
        <w:tc>
          <w:tcPr>
            <w:tcW w:w="1260" w:type="dxa"/>
            <w:vAlign w:val="center"/>
          </w:tcPr>
          <w:p w14:paraId="3A1A218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</w:t>
            </w:r>
          </w:p>
        </w:tc>
        <w:tc>
          <w:tcPr>
            <w:tcW w:w="679" w:type="dxa"/>
            <w:vAlign w:val="center"/>
          </w:tcPr>
          <w:p w14:paraId="1785860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0.568</w:t>
            </w:r>
          </w:p>
        </w:tc>
        <w:tc>
          <w:tcPr>
            <w:tcW w:w="581" w:type="dxa"/>
            <w:vAlign w:val="center"/>
          </w:tcPr>
          <w:p w14:paraId="7873545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0.7</w:t>
            </w:r>
          </w:p>
        </w:tc>
        <w:tc>
          <w:tcPr>
            <w:tcW w:w="1260" w:type="dxa"/>
            <w:vAlign w:val="center"/>
          </w:tcPr>
          <w:p w14:paraId="7B7693D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1.2</w:t>
            </w:r>
          </w:p>
        </w:tc>
        <w:tc>
          <w:tcPr>
            <w:tcW w:w="715" w:type="dxa"/>
            <w:vAlign w:val="center"/>
          </w:tcPr>
          <w:p w14:paraId="0F12BF6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66023466" w14:textId="77777777" w:rsidTr="007A54DB">
        <w:tc>
          <w:tcPr>
            <w:tcW w:w="1684" w:type="dxa"/>
            <w:vAlign w:val="center"/>
          </w:tcPr>
          <w:p w14:paraId="2FBDDDFA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  <w:vAlign w:val="center"/>
          </w:tcPr>
          <w:p w14:paraId="21F990D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14:paraId="7E358953" w14:textId="77777777" w:rsidR="005F393E" w:rsidRPr="007A54DB" w:rsidRDefault="005F393E" w:rsidP="007A54DB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</w:t>
            </w:r>
          </w:p>
        </w:tc>
        <w:tc>
          <w:tcPr>
            <w:tcW w:w="644" w:type="dxa"/>
            <w:vAlign w:val="center"/>
          </w:tcPr>
          <w:p w14:paraId="66E2287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0.029</w:t>
            </w:r>
          </w:p>
        </w:tc>
        <w:tc>
          <w:tcPr>
            <w:tcW w:w="616" w:type="dxa"/>
            <w:vAlign w:val="center"/>
          </w:tcPr>
          <w:p w14:paraId="0D374C0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1.9</w:t>
            </w:r>
          </w:p>
        </w:tc>
        <w:tc>
          <w:tcPr>
            <w:tcW w:w="1260" w:type="dxa"/>
            <w:vAlign w:val="center"/>
          </w:tcPr>
          <w:p w14:paraId="1D6D5B0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2.4</w:t>
            </w:r>
          </w:p>
        </w:tc>
        <w:tc>
          <w:tcPr>
            <w:tcW w:w="679" w:type="dxa"/>
            <w:vAlign w:val="center"/>
          </w:tcPr>
          <w:p w14:paraId="0748E56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0.190</w:t>
            </w:r>
          </w:p>
        </w:tc>
        <w:tc>
          <w:tcPr>
            <w:tcW w:w="581" w:type="dxa"/>
            <w:vAlign w:val="center"/>
          </w:tcPr>
          <w:p w14:paraId="129517B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5.9</w:t>
            </w:r>
          </w:p>
        </w:tc>
        <w:tc>
          <w:tcPr>
            <w:tcW w:w="1260" w:type="dxa"/>
            <w:vAlign w:val="center"/>
          </w:tcPr>
          <w:p w14:paraId="7CBC11B5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7.7</w:t>
            </w:r>
          </w:p>
        </w:tc>
        <w:tc>
          <w:tcPr>
            <w:tcW w:w="715" w:type="dxa"/>
            <w:vAlign w:val="center"/>
          </w:tcPr>
          <w:p w14:paraId="56005679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  <w:tr w:rsidR="007A54DB" w:rsidRPr="007A54DB" w14:paraId="39AAE911" w14:textId="77777777" w:rsidTr="007A54DB">
        <w:tc>
          <w:tcPr>
            <w:tcW w:w="1684" w:type="dxa"/>
            <w:vAlign w:val="center"/>
          </w:tcPr>
          <w:p w14:paraId="7DA12217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  <w:vAlign w:val="center"/>
          </w:tcPr>
          <w:p w14:paraId="29A5C1E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3.5</w:t>
            </w:r>
          </w:p>
        </w:tc>
        <w:tc>
          <w:tcPr>
            <w:tcW w:w="1260" w:type="dxa"/>
            <w:vAlign w:val="center"/>
          </w:tcPr>
          <w:p w14:paraId="570D2E0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644" w:type="dxa"/>
            <w:vAlign w:val="center"/>
          </w:tcPr>
          <w:p w14:paraId="2FACDF8D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0.003</w:t>
            </w:r>
          </w:p>
        </w:tc>
        <w:tc>
          <w:tcPr>
            <w:tcW w:w="616" w:type="dxa"/>
            <w:vAlign w:val="center"/>
          </w:tcPr>
          <w:p w14:paraId="1608DF7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3.8</w:t>
            </w:r>
          </w:p>
        </w:tc>
        <w:tc>
          <w:tcPr>
            <w:tcW w:w="1260" w:type="dxa"/>
            <w:vAlign w:val="center"/>
          </w:tcPr>
          <w:p w14:paraId="6D72B23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3.3</w:t>
            </w:r>
          </w:p>
        </w:tc>
        <w:tc>
          <w:tcPr>
            <w:tcW w:w="679" w:type="dxa"/>
            <w:vAlign w:val="center"/>
          </w:tcPr>
          <w:p w14:paraId="642D140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0.397</w:t>
            </w:r>
          </w:p>
        </w:tc>
        <w:tc>
          <w:tcPr>
            <w:tcW w:w="581" w:type="dxa"/>
            <w:vAlign w:val="center"/>
          </w:tcPr>
          <w:p w14:paraId="3066DF43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3.8</w:t>
            </w:r>
          </w:p>
        </w:tc>
        <w:tc>
          <w:tcPr>
            <w:tcW w:w="1260" w:type="dxa"/>
            <w:vAlign w:val="center"/>
          </w:tcPr>
          <w:p w14:paraId="758FCB1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3.4</w:t>
            </w:r>
          </w:p>
        </w:tc>
        <w:tc>
          <w:tcPr>
            <w:tcW w:w="715" w:type="dxa"/>
            <w:vAlign w:val="center"/>
          </w:tcPr>
          <w:p w14:paraId="286EB1E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0.161</w:t>
            </w:r>
          </w:p>
        </w:tc>
      </w:tr>
      <w:tr w:rsidR="007A54DB" w:rsidRPr="007A54DB" w14:paraId="723918F4" w14:textId="77777777" w:rsidTr="007A54DB">
        <w:tc>
          <w:tcPr>
            <w:tcW w:w="1684" w:type="dxa"/>
            <w:vAlign w:val="center"/>
          </w:tcPr>
          <w:p w14:paraId="6CBC1354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  <w:vAlign w:val="center"/>
          </w:tcPr>
          <w:p w14:paraId="063E7BC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2.5</w:t>
            </w:r>
          </w:p>
        </w:tc>
        <w:tc>
          <w:tcPr>
            <w:tcW w:w="1260" w:type="dxa"/>
            <w:vAlign w:val="center"/>
          </w:tcPr>
          <w:p w14:paraId="261F10F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0.9</w:t>
            </w:r>
          </w:p>
        </w:tc>
        <w:tc>
          <w:tcPr>
            <w:tcW w:w="644" w:type="dxa"/>
            <w:vAlign w:val="center"/>
          </w:tcPr>
          <w:p w14:paraId="10DA390F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0.041</w:t>
            </w:r>
          </w:p>
        </w:tc>
        <w:tc>
          <w:tcPr>
            <w:tcW w:w="616" w:type="dxa"/>
            <w:vAlign w:val="center"/>
          </w:tcPr>
          <w:p w14:paraId="1ECBB4D1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3.1</w:t>
            </w:r>
          </w:p>
        </w:tc>
        <w:tc>
          <w:tcPr>
            <w:tcW w:w="1260" w:type="dxa"/>
            <w:vAlign w:val="center"/>
          </w:tcPr>
          <w:p w14:paraId="07E46A8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3.2</w:t>
            </w:r>
          </w:p>
        </w:tc>
        <w:tc>
          <w:tcPr>
            <w:tcW w:w="679" w:type="dxa"/>
            <w:vAlign w:val="center"/>
          </w:tcPr>
          <w:p w14:paraId="60D7842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0.816</w:t>
            </w:r>
          </w:p>
        </w:tc>
        <w:tc>
          <w:tcPr>
            <w:tcW w:w="581" w:type="dxa"/>
            <w:vAlign w:val="center"/>
          </w:tcPr>
          <w:p w14:paraId="46F58E1B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2.4</w:t>
            </w:r>
          </w:p>
        </w:tc>
        <w:tc>
          <w:tcPr>
            <w:tcW w:w="1260" w:type="dxa"/>
            <w:vAlign w:val="center"/>
          </w:tcPr>
          <w:p w14:paraId="555975A7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2.6</w:t>
            </w:r>
          </w:p>
        </w:tc>
        <w:tc>
          <w:tcPr>
            <w:tcW w:w="715" w:type="dxa"/>
            <w:vAlign w:val="center"/>
          </w:tcPr>
          <w:p w14:paraId="64036B52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0.472</w:t>
            </w:r>
          </w:p>
        </w:tc>
      </w:tr>
      <w:tr w:rsidR="007A54DB" w:rsidRPr="007A54DB" w14:paraId="473E1789" w14:textId="77777777" w:rsidTr="007A54DB">
        <w:tc>
          <w:tcPr>
            <w:tcW w:w="1684" w:type="dxa"/>
            <w:vAlign w:val="center"/>
          </w:tcPr>
          <w:p w14:paraId="137F45A0" w14:textId="77777777" w:rsidR="005F393E" w:rsidRPr="007A54DB" w:rsidRDefault="005F393E" w:rsidP="005D3D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  <w:vAlign w:val="center"/>
          </w:tcPr>
          <w:p w14:paraId="149EBDB4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5.0</w:t>
            </w:r>
          </w:p>
        </w:tc>
        <w:tc>
          <w:tcPr>
            <w:tcW w:w="1260" w:type="dxa"/>
            <w:vAlign w:val="center"/>
          </w:tcPr>
          <w:p w14:paraId="28E06D2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6.5</w:t>
            </w:r>
          </w:p>
        </w:tc>
        <w:tc>
          <w:tcPr>
            <w:tcW w:w="644" w:type="dxa"/>
            <w:vAlign w:val="center"/>
          </w:tcPr>
          <w:p w14:paraId="44C8EF1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0.228</w:t>
            </w:r>
          </w:p>
        </w:tc>
        <w:tc>
          <w:tcPr>
            <w:tcW w:w="616" w:type="dxa"/>
            <w:vAlign w:val="center"/>
          </w:tcPr>
          <w:p w14:paraId="6B89822C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7.6</w:t>
            </w:r>
          </w:p>
        </w:tc>
        <w:tc>
          <w:tcPr>
            <w:tcW w:w="1260" w:type="dxa"/>
            <w:vAlign w:val="center"/>
          </w:tcPr>
          <w:p w14:paraId="1553C800" w14:textId="77777777" w:rsidR="005F393E" w:rsidRPr="007A54DB" w:rsidRDefault="005F393E" w:rsidP="007A54DB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8.6</w:t>
            </w:r>
          </w:p>
        </w:tc>
        <w:tc>
          <w:tcPr>
            <w:tcW w:w="679" w:type="dxa"/>
            <w:vAlign w:val="center"/>
          </w:tcPr>
          <w:p w14:paraId="4A2C5EC6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0.200</w:t>
            </w:r>
          </w:p>
        </w:tc>
        <w:tc>
          <w:tcPr>
            <w:tcW w:w="581" w:type="dxa"/>
            <w:vAlign w:val="center"/>
          </w:tcPr>
          <w:p w14:paraId="233CA34E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5.0</w:t>
            </w:r>
          </w:p>
        </w:tc>
        <w:tc>
          <w:tcPr>
            <w:tcW w:w="1260" w:type="dxa"/>
            <w:vAlign w:val="center"/>
          </w:tcPr>
          <w:p w14:paraId="6851A4DA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3.8</w:t>
            </w:r>
          </w:p>
        </w:tc>
        <w:tc>
          <w:tcPr>
            <w:tcW w:w="715" w:type="dxa"/>
            <w:vAlign w:val="center"/>
          </w:tcPr>
          <w:p w14:paraId="1F2E1DE8" w14:textId="77777777" w:rsidR="005F393E" w:rsidRPr="007A54DB" w:rsidRDefault="005F393E" w:rsidP="007A54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A54DB">
              <w:rPr>
                <w:rFonts w:ascii="Arial Narrow" w:hAnsi="Arial Narrow" w:cs="Arial"/>
                <w:sz w:val="18"/>
                <w:szCs w:val="18"/>
              </w:rPr>
              <w:t>0.000</w:t>
            </w: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ul Deodhar" w:date="2017-06-08T21:34:00Z" w:initials="MOU">
    <w:p w14:paraId="717FF9C5" w14:textId="2E6B86FF" w:rsidR="00A925C0" w:rsidRDefault="00A925C0">
      <w:pPr>
        <w:pStyle w:val="CommentText"/>
      </w:pPr>
      <w:r>
        <w:rPr>
          <w:rStyle w:val="CommentReference"/>
        </w:rPr>
        <w:annotationRef/>
      </w:r>
      <w:r>
        <w:t>I had to cut several words to bring this abstract within the characters limit.  Sorry!</w:t>
      </w:r>
    </w:p>
  </w:comment>
  <w:comment w:id="1" w:author="Atul Deodhar" w:date="2017-06-08T16:42:00Z" w:initials="AD">
    <w:p w14:paraId="7873FDC2" w14:textId="13C29855" w:rsidR="006C7FB4" w:rsidRDefault="006C7FB4">
      <w:pPr>
        <w:pStyle w:val="CommentText"/>
      </w:pPr>
      <w:r>
        <w:rPr>
          <w:rStyle w:val="CommentReference"/>
        </w:rPr>
        <w:annotationRef/>
      </w:r>
      <w:r>
        <w:t>I have made the title more provocative (we have character space!)</w:t>
      </w:r>
    </w:p>
  </w:comment>
  <w:comment w:id="2" w:author="Suruki Robert" w:date="2017-06-08T16:26:00Z" w:initials="SR">
    <w:p w14:paraId="2DD09B3B" w14:textId="77777777" w:rsidR="00552BE3" w:rsidRDefault="00552BE3" w:rsidP="00552BE3">
      <w:pPr>
        <w:pStyle w:val="CommentText"/>
      </w:pPr>
      <w:r>
        <w:rPr>
          <w:rStyle w:val="CommentReference"/>
        </w:rPr>
        <w:annotationRef/>
      </w:r>
      <w:r>
        <w:t>Can we also include in Table 1 some basic demographics? Age and gender?</w:t>
      </w:r>
    </w:p>
  </w:comment>
  <w:comment w:id="3" w:author="Atul Deodhar" w:date="2017-06-08T16:59:00Z" w:initials="AD">
    <w:p w14:paraId="644FFC32" w14:textId="4A626BA6" w:rsidR="00BC273C" w:rsidRDefault="00BC273C">
      <w:pPr>
        <w:pStyle w:val="CommentText"/>
      </w:pPr>
      <w:r>
        <w:rPr>
          <w:rStyle w:val="CommentReference"/>
        </w:rPr>
        <w:annotationRef/>
      </w:r>
      <w:r>
        <w:t>Ben, you have this information?</w:t>
      </w:r>
    </w:p>
  </w:comment>
  <w:comment w:id="4" w:author="Jeffrey Curtis" w:date="2017-06-06T17:20:00Z" w:initials="JC">
    <w:p w14:paraId="08068F4B" w14:textId="77777777" w:rsidR="00552BE3" w:rsidRDefault="00552BE3" w:rsidP="00552BE3">
      <w:pPr>
        <w:pStyle w:val="CommentText"/>
      </w:pPr>
      <w:r>
        <w:rPr>
          <w:rStyle w:val="CommentReference"/>
        </w:rPr>
        <w:annotationRef/>
      </w:r>
      <w:r>
        <w:t>It would be very helpful to pick out some of the highlights from the tables and put it into prose</w:t>
      </w:r>
    </w:p>
  </w:comment>
  <w:comment w:id="5" w:author="Atul Deodhar" w:date="2017-06-08T16:23:00Z" w:initials="AD">
    <w:p w14:paraId="7EB3F4A7" w14:textId="77777777" w:rsidR="00552BE3" w:rsidRDefault="00552BE3" w:rsidP="00552BE3">
      <w:pPr>
        <w:pStyle w:val="CommentText"/>
      </w:pPr>
      <w:r>
        <w:rPr>
          <w:rStyle w:val="CommentReference"/>
        </w:rPr>
        <w:annotationRef/>
      </w:r>
      <w:r>
        <w:t>Agree. I have moved the ‘results’ from ‘Conclusion’ up</w:t>
      </w:r>
    </w:p>
  </w:comment>
  <w:comment w:id="6" w:author="Jeffrey Curtis" w:date="2017-06-06T17:20:00Z" w:initials="JC">
    <w:p w14:paraId="7A0739DF" w14:textId="77777777" w:rsidR="005D3D43" w:rsidRDefault="005D3D43" w:rsidP="007A54DB">
      <w:pPr>
        <w:pStyle w:val="CommentText"/>
      </w:pPr>
      <w:r>
        <w:rPr>
          <w:rStyle w:val="CommentReference"/>
        </w:rPr>
        <w:annotationRef/>
      </w:r>
      <w:r>
        <w:t>Desirable to also point out</w:t>
      </w:r>
    </w:p>
    <w:p w14:paraId="0244223E" w14:textId="77777777" w:rsidR="005D3D43" w:rsidRDefault="005D3D43" w:rsidP="007A54DB">
      <w:pPr>
        <w:pStyle w:val="CommentText"/>
        <w:numPr>
          <w:ilvl w:val="0"/>
          <w:numId w:val="3"/>
        </w:numPr>
      </w:pPr>
      <w:r>
        <w:t xml:space="preserve">Likelihood of channeling of sicker patients to </w:t>
      </w:r>
      <w:proofErr w:type="spellStart"/>
      <w:r>
        <w:t>TNFi</w:t>
      </w:r>
      <w:proofErr w:type="spellEnd"/>
      <w:r>
        <w:t>, and this could account for the associated in the latter half of this sentence</w:t>
      </w:r>
    </w:p>
    <w:p w14:paraId="0AE24C50" w14:textId="77777777" w:rsidR="005D3D43" w:rsidRDefault="005D3D43" w:rsidP="007A54DB">
      <w:pPr>
        <w:pStyle w:val="CommentText"/>
        <w:numPr>
          <w:ilvl w:val="0"/>
          <w:numId w:val="3"/>
        </w:numPr>
      </w:pPr>
      <w:r>
        <w:t>That this is a work in progress and therefore not to be definitive about the results given need for controlling for potential confounding</w:t>
      </w:r>
    </w:p>
  </w:comment>
  <w:comment w:id="7" w:author="Atul Deodhar" w:date="2017-06-08T16:36:00Z" w:initials="AD">
    <w:p w14:paraId="5D2DEA97" w14:textId="147ADFE6" w:rsidR="00F145BD" w:rsidRDefault="00F145BD">
      <w:pPr>
        <w:pStyle w:val="CommentText"/>
      </w:pPr>
      <w:r>
        <w:rPr>
          <w:rStyle w:val="CommentReference"/>
        </w:rPr>
        <w:annotationRef/>
      </w:r>
      <w:r>
        <w:t>Agree – I have added the language</w:t>
      </w:r>
    </w:p>
  </w:comment>
  <w:comment w:id="9" w:author="Bohn Rhonda" w:date="2017-06-06T17:20:00Z" w:initials="BR">
    <w:p w14:paraId="19953576" w14:textId="43FF55B9" w:rsidR="005D3D43" w:rsidRDefault="005D3D43">
      <w:pPr>
        <w:pStyle w:val="CommentText"/>
      </w:pPr>
      <w:r>
        <w:rPr>
          <w:rStyle w:val="CommentReference"/>
        </w:rPr>
        <w:annotationRef/>
      </w:r>
      <w:r>
        <w:t>Since we do not go into how prevalence is defined, this is not clear. For example, a patient does not contribute more than one treatment episode per drug class, correct?</w:t>
      </w:r>
    </w:p>
  </w:comment>
  <w:comment w:id="10" w:author="Suruki Robert" w:date="2017-06-06T17:20:00Z" w:initials="SR">
    <w:p w14:paraId="637D98A3" w14:textId="30F45E75" w:rsidR="005D3D43" w:rsidRDefault="005D3D43">
      <w:pPr>
        <w:pStyle w:val="CommentText"/>
      </w:pPr>
      <w:r>
        <w:rPr>
          <w:rStyle w:val="CommentReference"/>
        </w:rPr>
        <w:annotationRef/>
      </w:r>
      <w:r>
        <w:t>The ‘per 100 treatment exposures’ is a bit confusing.  I think we need to explain this better in the methods section or present the prevalence as ‘per 1000 patients’.</w:t>
      </w:r>
    </w:p>
  </w:comment>
  <w:comment w:id="11" w:author="Atul Deodhar" w:date="2017-06-08T21:30:00Z" w:initials="MOU">
    <w:p w14:paraId="197940D6" w14:textId="62C79275" w:rsidR="00C053CA" w:rsidRDefault="00C053CA">
      <w:pPr>
        <w:pStyle w:val="CommentText"/>
      </w:pPr>
      <w:r>
        <w:rPr>
          <w:rStyle w:val="CommentReference"/>
        </w:rPr>
        <w:annotationRef/>
      </w:r>
      <w:r>
        <w:t>Per 100 treatment exposure is accurate, but I too would prefer per 100 (not 1000 – rheumatologists are used to see per 100) patient years.  Is that possible to calculate?</w:t>
      </w:r>
    </w:p>
  </w:comment>
  <w:comment w:id="8" w:author="Huifeng Yun" w:date="2017-06-06T17:20:00Z" w:initials="HY">
    <w:p w14:paraId="758630BF" w14:textId="23C51B2A" w:rsidR="005D3D43" w:rsidRDefault="005D3D43">
      <w:pPr>
        <w:pStyle w:val="CommentText"/>
      </w:pPr>
      <w:r>
        <w:rPr>
          <w:rStyle w:val="CommentReference"/>
        </w:rPr>
        <w:annotationRef/>
      </w:r>
      <w:r>
        <w:t>Agreed. It is very confusing</w:t>
      </w:r>
    </w:p>
  </w:comment>
  <w:comment w:id="12" w:author="Benjamin Chan" w:date="2017-06-09T09:33:00Z" w:initials="BC">
    <w:p w14:paraId="2730EC8B" w14:textId="511F9287" w:rsidR="000B3738" w:rsidRDefault="000B3738">
      <w:pPr>
        <w:pStyle w:val="CommentText"/>
      </w:pPr>
      <w:r>
        <w:rPr>
          <w:rStyle w:val="CommentReference"/>
        </w:rPr>
        <w:annotationRef/>
      </w:r>
      <w:r>
        <w:t>Numbers for NSAID/no exposure column</w:t>
      </w:r>
      <w:r>
        <w:t>s</w:t>
      </w:r>
      <w:r>
        <w:t xml:space="preserve"> were calculated as weighted averages from the data presented in Tables 2a-c; may not be precise. Need to have UAB verify.</w:t>
      </w:r>
    </w:p>
  </w:comment>
  <w:comment w:id="13" w:author="Benjamin Chan" w:date="2017-06-09T09:30:00Z" w:initials="BC">
    <w:p w14:paraId="250C1133" w14:textId="00C52BE0" w:rsidR="000B3738" w:rsidRDefault="007C2156">
      <w:pPr>
        <w:pStyle w:val="CommentText"/>
      </w:pPr>
      <w:r>
        <w:rPr>
          <w:rStyle w:val="CommentReference"/>
        </w:rPr>
        <w:annotationRef/>
      </w:r>
      <w:r>
        <w:t xml:space="preserve">Added from Jeff et </w:t>
      </w:r>
      <w:proofErr w:type="spellStart"/>
      <w:r>
        <w:t>al’s</w:t>
      </w:r>
      <w:proofErr w:type="spellEnd"/>
      <w:r>
        <w:t xml:space="preserve"> “</w:t>
      </w:r>
      <w:r w:rsidRPr="007C2156">
        <w:t>Table 1 Distribution of Characteristics of AS cohort by data source 1 year baseline.docx</w:t>
      </w:r>
      <w:r>
        <w:t>” document</w:t>
      </w:r>
      <w:r w:rsidR="000B3738">
        <w:t>, Tables 2a-c.</w:t>
      </w:r>
    </w:p>
  </w:comment>
  <w:comment w:id="17" w:author="Benjamin Chan" w:date="2017-06-09T09:29:00Z" w:initials="BC">
    <w:p w14:paraId="4C74C14E" w14:textId="02D81ECD" w:rsidR="007C2156" w:rsidRDefault="007C2156">
      <w:pPr>
        <w:pStyle w:val="CommentText"/>
      </w:pPr>
      <w:r>
        <w:rPr>
          <w:rStyle w:val="CommentReference"/>
        </w:rPr>
        <w:annotationRef/>
      </w:r>
      <w:r>
        <w:t>I deleted the N’s; they were taken from the incorrect table.</w:t>
      </w:r>
      <w:r w:rsidR="000B3738">
        <w:t xml:space="preserve"> N’s are now reported in the prevalence table, above.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FF9C5" w15:done="0"/>
  <w15:commentEx w15:paraId="7873FDC2" w15:done="0"/>
  <w15:commentEx w15:paraId="2DD09B3B" w15:done="0"/>
  <w15:commentEx w15:paraId="644FFC32" w15:paraIdParent="2DD09B3B" w15:done="0"/>
  <w15:commentEx w15:paraId="08068F4B" w15:done="0"/>
  <w15:commentEx w15:paraId="7EB3F4A7" w15:paraIdParent="08068F4B" w15:done="0"/>
  <w15:commentEx w15:paraId="0AE24C50" w15:done="0"/>
  <w15:commentEx w15:paraId="5D2DEA97" w15:paraIdParent="0AE24C50" w15:done="0"/>
  <w15:commentEx w15:paraId="19953576" w15:done="0"/>
  <w15:commentEx w15:paraId="637D98A3" w15:paraIdParent="19953576" w15:done="0"/>
  <w15:commentEx w15:paraId="197940D6" w15:paraIdParent="19953576" w15:done="0"/>
  <w15:commentEx w15:paraId="758630BF" w15:done="0"/>
  <w15:commentEx w15:paraId="2730EC8B" w15:done="0"/>
  <w15:commentEx w15:paraId="250C1133" w15:done="0"/>
  <w15:commentEx w15:paraId="4C74C1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ruki Robert">
    <w15:presenceInfo w15:providerId="None" w15:userId="Suruki Robert"/>
  </w15:person>
  <w15:person w15:author="Jeffrey Curtis">
    <w15:presenceInfo w15:providerId="Windows Live" w15:userId="eb070d17ec37349b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94D89"/>
    <w:rsid w:val="0019719D"/>
    <w:rsid w:val="001A07B3"/>
    <w:rsid w:val="001A32EE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50A95"/>
    <w:rsid w:val="00861152"/>
    <w:rsid w:val="00866200"/>
    <w:rsid w:val="008946BC"/>
    <w:rsid w:val="008A0CD8"/>
    <w:rsid w:val="008A61C7"/>
    <w:rsid w:val="008B6E21"/>
    <w:rsid w:val="008D12B5"/>
    <w:rsid w:val="008D5232"/>
    <w:rsid w:val="00901FFC"/>
    <w:rsid w:val="00921546"/>
    <w:rsid w:val="0095722F"/>
    <w:rsid w:val="00983521"/>
    <w:rsid w:val="009902F4"/>
    <w:rsid w:val="009C4553"/>
    <w:rsid w:val="009C5025"/>
    <w:rsid w:val="009D3146"/>
    <w:rsid w:val="009E02D6"/>
    <w:rsid w:val="00A1598E"/>
    <w:rsid w:val="00A541B1"/>
    <w:rsid w:val="00A62C37"/>
    <w:rsid w:val="00A717A5"/>
    <w:rsid w:val="00A925C0"/>
    <w:rsid w:val="00A92707"/>
    <w:rsid w:val="00AA1290"/>
    <w:rsid w:val="00AA7F92"/>
    <w:rsid w:val="00AC209F"/>
    <w:rsid w:val="00AC4D45"/>
    <w:rsid w:val="00AD0F8E"/>
    <w:rsid w:val="00AF76B1"/>
    <w:rsid w:val="00B0232A"/>
    <w:rsid w:val="00B108BF"/>
    <w:rsid w:val="00B14A64"/>
    <w:rsid w:val="00B24789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E72D0"/>
    <w:rsid w:val="00CF4595"/>
    <w:rsid w:val="00D050BD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F0686"/>
    <w:rsid w:val="00EF17F3"/>
    <w:rsid w:val="00F145BD"/>
    <w:rsid w:val="00F30EB2"/>
    <w:rsid w:val="00F54792"/>
    <w:rsid w:val="00F56165"/>
    <w:rsid w:val="00F62B25"/>
    <w:rsid w:val="00F65FED"/>
    <w:rsid w:val="00F7552A"/>
    <w:rsid w:val="00F81E11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5C11CCBC-E094-4BF2-83B4-F9B45BCB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7AA3-A485-492D-8997-73207B39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13</cp:revision>
  <dcterms:created xsi:type="dcterms:W3CDTF">2017-06-09T04:01:00Z</dcterms:created>
  <dcterms:modified xsi:type="dcterms:W3CDTF">2017-06-09T16:38:00Z</dcterms:modified>
</cp:coreProperties>
</file>