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p>
      <w:pPr>
        <w:pStyle w:val="SourceCode"/>
      </w:pPr>
      <w:r>
        <w:rPr>
          <w:rStyle w:val="VerbatimChar"/>
        </w:rPr>
        <w:t xml:space="preserve">## Error in table.margins(x): x is not an array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a2e5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2017-10-03T02:24:55Z</dcterms:created>
  <dcterms:modified xsi:type="dcterms:W3CDTF">2017-10-03T02:24:55Z</dcterms:modified>
</cp:coreProperties>
</file>