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247" w:rsidRDefault="00CD490A">
      <w:pPr>
        <w:pStyle w:val="Heading1"/>
      </w:pPr>
      <w:bookmarkStart w:id="0" w:name="propensity-score"/>
      <w:bookmarkEnd w:id="0"/>
      <w:r>
        <w:t>Propensity score</w:t>
      </w:r>
    </w:p>
    <w:p w:rsidR="001D3247" w:rsidRDefault="00CD490A">
      <w:pPr>
        <w:pStyle w:val="FirstParagraph"/>
      </w:pPr>
      <w:r>
        <w:t>December 07, 2017</w:t>
      </w:r>
    </w:p>
    <w:p w:rsidR="001D3247" w:rsidRDefault="00CD490A">
      <w:pPr>
        <w:pStyle w:val="Heading2"/>
      </w:pPr>
      <w:bookmarkStart w:id="1" w:name="description-of-model"/>
      <w:bookmarkEnd w:id="1"/>
      <w:r>
        <w:t>Description of model</w:t>
      </w:r>
    </w:p>
    <w:p w:rsidR="001D3247" w:rsidRDefault="00CD490A">
      <w:pPr>
        <w:pStyle w:val="FirstParagraph"/>
      </w:pPr>
      <w:r>
        <w:t xml:space="preserve">See </w:t>
      </w:r>
      <w:hyperlink r:id="rId7">
        <w:r>
          <w:rPr>
            <w:rStyle w:val="Hyperlink"/>
          </w:rPr>
          <w:t>modelPropensityScore.sas</w:t>
        </w:r>
      </w:hyperlink>
      <w:r>
        <w:t xml:space="preserve"> script for details on model.</w:t>
      </w:r>
    </w:p>
    <w:p w:rsidR="001D3247" w:rsidRDefault="00CD490A">
      <w:pPr>
        <w:pStyle w:val="BodyText"/>
      </w:pPr>
      <w:r>
        <w:t xml:space="preserve">The propensity of exposure to the three treatments: TNF, DMARD, and NSAID or no exposure, was modeled using a multinomial logistic regression model (SAS </w:t>
      </w:r>
      <w:r>
        <w:rPr>
          <w:rStyle w:val="VerbatimChar"/>
        </w:rPr>
        <w:t>proc logistic</w:t>
      </w:r>
      <w:r>
        <w:t xml:space="preserve">). The link function used was a generalized logit. TNF exposure was used as the reference </w:t>
      </w:r>
      <w:r>
        <w:t>exposure.</w:t>
      </w:r>
    </w:p>
    <w:p w:rsidR="001D3247" w:rsidRDefault="00CD490A">
      <w:pPr>
        <w:pStyle w:val="BodyText"/>
      </w:pPr>
      <w:r>
        <w:t>Included independent variables:</w:t>
      </w:r>
    </w:p>
    <w:tbl>
      <w:tblPr>
        <w:tblStyle w:val="GridTable4-Accent1"/>
        <w:tblW w:w="0" w:type="auto"/>
        <w:tblLook w:val="0420" w:firstRow="1" w:lastRow="0" w:firstColumn="0" w:lastColumn="0" w:noHBand="0" w:noVBand="1"/>
      </w:tblPr>
      <w:tblGrid>
        <w:gridCol w:w="1853"/>
        <w:gridCol w:w="7723"/>
      </w:tblGrid>
      <w:tr w:rsidR="001D3247" w:rsidTr="008B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Variable name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Description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age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Categorized: &lt;19, 19-29, 30-39, 40-49, 50-59, 60-69, 70+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sex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Male, Female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indAmyloidosis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Amyloidosis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indAortInsuffRegurg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Aortic Insufficiency/Aortic Regurgitation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indApicalPulmFib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Apical Pulmonary fibrosis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indCaudaEquina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Cauda Equina syndrome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indVertFrac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Clinical vertebral fracture (any prior to expos</w:t>
            </w:r>
            <w:r>
              <w:t>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indConductBlock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Conduction Block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indCrohnsDis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Crohnâ€™s Disease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indHematCa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Hematologic Cancer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indHospInf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Hospitalized infection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indIgANeph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IgA nephropathy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indInterstLungDis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Interstitial lung disease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indMI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Myocardial infarction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indNephSyn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Nephrotic syndrome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indNMSC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 xml:space="preserve">Non Melanoma Skin Cancer (any </w:t>
            </w:r>
            <w:r>
              <w:t>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indNonVertOsFrac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Non-vertebral osteoporotic fracture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indOppInf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Opportunistic infection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indPsoriasis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Psoriasis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indPSA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Psoriatic arthritis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indRestrictLungDis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Restrictive lung disease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indSolidCa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Solid Cancer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indSpinalCordComp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Spinal Cord compression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indUlcerColitis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Ulcerative Colitis (any prior to exposure)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indUveitis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Uveitis (any prior to exposure)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indDiabetes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Diabetes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indHT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Hypertention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indMetabSyn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Metabolic syndrome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indNAFattyLiverDis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Non-alcoholic fatty liver disease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indCOPDEmphysema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COPD or emphysema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meanPredEqDoseCat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Categorized: None, Low (&lt;</w:t>
            </w:r>
            <w:r>
              <w:t>2.5 mg/d), Medium-Low (2.5-5 mg/d), Medium-High (5-10 mg/d), High (10+ mg/d)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quartileCharlson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Charlson comorbidity index: quartiles within data source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indInflamMarker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Inflammatory marker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indRxNSAID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NSAID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indRxHtn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</w:t>
            </w:r>
            <w:r>
              <w:t>on drug indicator: Antihypertensive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indRxNarcotics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Narcotic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indRxFungus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Antifungal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lastRenderedPageBreak/>
              <w:t>indRxOP_bisphosp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Bisphosphonate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indRxThiazide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Thiazide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indRxAnticoagulant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Prescription drug indicator: Anticoagulant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indIPAdmit12mPrior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Inpatient admission 12 months prior to exposure</w:t>
            </w:r>
          </w:p>
        </w:tc>
      </w:tr>
    </w:tbl>
    <w:p w:rsidR="001D3247" w:rsidRDefault="00CD490A">
      <w:pPr>
        <w:pStyle w:val="BodyText"/>
      </w:pPr>
      <w:r>
        <w:t>Model output is probability of exposure to TNF, DMARD, and NSAID or no exposure. For o</w:t>
      </w:r>
      <w:r>
        <w:t>ur purposes, we focus only on the propensity for TNF exposure.</w:t>
      </w:r>
    </w:p>
    <w:p w:rsidR="001D3247" w:rsidRDefault="00CD490A">
      <w:pPr>
        <w:pStyle w:val="BodyText"/>
      </w:pPr>
      <w:r>
        <w:t>Model estimation was performed separately for the 3 data sources: MPCD, Marketscan, and Medicare. Independent variables were excluded from model estimation if they led to unstable estimates whe</w:t>
      </w:r>
      <w:r>
        <w:t>n included in data source-specific models. This can occur if the covariate is so rare that zero records with this covariate appear in the model estimation cohort.</w:t>
      </w:r>
    </w:p>
    <w:p w:rsidR="001D3247" w:rsidRDefault="00CD490A">
      <w:pPr>
        <w:pStyle w:val="BodyText"/>
      </w:pPr>
      <w:r>
        <w:t>The common support region lower bound is the maximum of the lowest TNF propensity score among</w:t>
      </w:r>
      <w:r>
        <w:t xml:space="preserve"> the 3 exposure groups. The common support region upper bound is the minimum of the greatest TNF propensity score among the 3 exposure groups.</w:t>
      </w:r>
    </w:p>
    <w:p w:rsidR="001D3247" w:rsidRDefault="00CD490A">
      <w:pPr>
        <w:pStyle w:val="BodyText"/>
      </w:pPr>
      <w:r>
        <w:t>To check covariate balance, subjects are partitioned into deciles defined by the TNF propensity score, regardless</w:t>
      </w:r>
      <w:r>
        <w:t xml:space="preserve"> of true exposure. Model covariates are plotted on the y-axis in relation to TNF propensity decile on the x-axis. Comparisons are made between exposure groups to check for balance.</w:t>
      </w:r>
    </w:p>
    <w:p w:rsidR="001D3247" w:rsidRDefault="00CD490A">
      <w:pPr>
        <w:pStyle w:val="BodyText"/>
      </w:pPr>
      <w:r>
        <w:t>Inverse probability treatment weight (IPTW) for TNF exposure was calculated as</w:t>
      </w:r>
    </w:p>
    <w:p w:rsidR="001D3247" w:rsidRDefault="00CD490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IPT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TNF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</m:oMath>
      </m:oMathPara>
    </w:p>
    <w:p w:rsidR="001D3247" w:rsidRDefault="00CD490A">
      <w:pPr>
        <w:pStyle w:val="FirstParagraph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TNF</m:t>
            </m:r>
          </m:sub>
        </m:sSub>
      </m:oMath>
      <w:r>
        <w:t xml:space="preserve"> is a 0/1 indicator for TNF exposure.</w:t>
      </w:r>
    </w:p>
    <w:p w:rsidR="001D3247" w:rsidRDefault="00CD490A">
      <w:pPr>
        <w:pStyle w:val="BodyText"/>
      </w:pPr>
      <w:r>
        <w:t xml:space="preserve">IPTW will be </w:t>
      </w:r>
      <w:r>
        <w:rPr>
          <w:b/>
        </w:rPr>
        <w:t>low</w:t>
      </w:r>
      <w:r>
        <w:t xml:space="preserve"> if</w:t>
      </w:r>
    </w:p>
    <w:p w:rsidR="001D3247" w:rsidRDefault="00CD490A">
      <w:pPr>
        <w:pStyle w:val="Compact"/>
        <w:numPr>
          <w:ilvl w:val="0"/>
          <w:numId w:val="3"/>
        </w:numPr>
      </w:pPr>
      <w:r>
        <w:t xml:space="preserve">True exposure was TNF </w:t>
      </w:r>
      <w:r>
        <w:rPr>
          <w:b/>
        </w:rPr>
        <w:t>and</w:t>
      </w:r>
      <w:r>
        <w:t xml:space="preserve"> propensity for TNF was high, or</w:t>
      </w:r>
    </w:p>
    <w:p w:rsidR="001D3247" w:rsidRDefault="00CD490A">
      <w:pPr>
        <w:pStyle w:val="Compact"/>
        <w:numPr>
          <w:ilvl w:val="0"/>
          <w:numId w:val="3"/>
        </w:numPr>
      </w:pPr>
      <w:r>
        <w:t xml:space="preserve">True exposure was not TNF </w:t>
      </w:r>
      <w:r>
        <w:rPr>
          <w:b/>
        </w:rPr>
        <w:t>and</w:t>
      </w:r>
      <w:r>
        <w:t xml:space="preserve"> propensity for TNF was low</w:t>
      </w:r>
    </w:p>
    <w:p w:rsidR="001D3247" w:rsidRDefault="00CD490A">
      <w:pPr>
        <w:pStyle w:val="FirstParagraph"/>
      </w:pPr>
      <w:r>
        <w:t>I.e., individuals are weighted higher if the true exposure is contrary to the propensity.</w:t>
      </w:r>
    </w:p>
    <w:p w:rsidR="001D3247" w:rsidRDefault="00CD490A">
      <w:pPr>
        <w:pStyle w:val="BodyText"/>
      </w:pPr>
      <w:r>
        <w:t>Stabilized IPTW are calculated as described in Austin, P. C., and Stuart, E. A. (2015) Moving towards best pr</w:t>
      </w:r>
      <w:r>
        <w:t xml:space="preserve">actice when using inverse probability of treatment weighting (IPTW) using the propensity score to estimate causal treatment effects in observational studies. Statist. Med., 34: 3661â€“3679. doi: </w:t>
      </w:r>
      <w:hyperlink r:id="rId8">
        <w:r>
          <w:rPr>
            <w:rStyle w:val="Hyperlink"/>
          </w:rPr>
          <w:t>10.1002/sim.6607</w:t>
        </w:r>
      </w:hyperlink>
      <w:r>
        <w:t>.</w:t>
      </w:r>
    </w:p>
    <w:p w:rsidR="001D3247" w:rsidRDefault="00CD490A">
      <w:pPr>
        <w:pStyle w:val="Heading2"/>
      </w:pPr>
      <w:bookmarkStart w:id="2" w:name="import-data-sets"/>
      <w:bookmarkEnd w:id="2"/>
      <w:r>
        <w:t>Import data sets</w:t>
      </w:r>
    </w:p>
    <w:p w:rsidR="001D3247" w:rsidRDefault="00CD490A">
      <w:pPr>
        <w:pStyle w:val="FirstParagraph"/>
      </w:pPr>
      <w:r>
        <w:t xml:space="preserve">Read deidentified propensity score data. Data was created by </w:t>
      </w:r>
      <w:hyperlink r:id="rId9">
        <w:r>
          <w:rPr>
            <w:rStyle w:val="Hyperlink"/>
          </w:rPr>
          <w:t>modelPropensityScore.sas</w:t>
        </w:r>
      </w:hyperlink>
      <w:r>
        <w:t>.</w:t>
      </w:r>
    </w:p>
    <w:p w:rsidR="001D3247" w:rsidRDefault="00CD490A">
      <w:pPr>
        <w:pStyle w:val="Compact"/>
        <w:numPr>
          <w:ilvl w:val="0"/>
          <w:numId w:val="4"/>
        </w:numPr>
      </w:pPr>
      <w:r>
        <w:t xml:space="preserve">Image files saved as </w:t>
      </w:r>
      <w:hyperlink r:id="rId10">
        <w:r>
          <w:rPr>
            <w:rStyle w:val="Hyperlink"/>
          </w:rPr>
          <w:t>PNG</w:t>
        </w:r>
      </w:hyperlink>
      <w:r>
        <w:t xml:space="preserve">, </w:t>
      </w:r>
      <w:hyperlink r:id="rId11">
        <w:r>
          <w:rPr>
            <w:rStyle w:val="Hyperlink"/>
          </w:rPr>
          <w:t>SVG</w:t>
        </w:r>
      </w:hyperlink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" name="Picture" descr="Densities propensity sc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densityP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1D3247" w:rsidRDefault="00CD490A">
      <w:pPr>
        <w:pStyle w:val="ImageCaption"/>
      </w:pPr>
      <w:r>
        <w:t>Densities propensity scores.png</w:t>
      </w:r>
    </w:p>
    <w:p w:rsidR="001D3247" w:rsidRDefault="001D3247">
      <w:pPr>
        <w:pStyle w:val="BodyText"/>
      </w:pPr>
    </w:p>
    <w:tbl>
      <w:tblPr>
        <w:tblStyle w:val="GridTable4-Accent1"/>
        <w:tblW w:w="0" w:type="pct"/>
        <w:tblLook w:val="0420" w:firstRow="1" w:lastRow="0" w:firstColumn="0" w:lastColumn="0" w:noHBand="0" w:noVBand="1"/>
      </w:tblPr>
      <w:tblGrid>
        <w:gridCol w:w="1893"/>
        <w:gridCol w:w="1114"/>
        <w:gridCol w:w="1912"/>
        <w:gridCol w:w="715"/>
        <w:gridCol w:w="745"/>
        <w:gridCol w:w="770"/>
        <w:gridCol w:w="1003"/>
        <w:gridCol w:w="1029"/>
      </w:tblGrid>
      <w:tr w:rsidR="001D3247" w:rsidTr="008B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indCommonSupport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database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minPS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maxPS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minIPTW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maxIPTW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0.969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1.032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53.047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188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0.885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1.007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8.715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0.876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0.901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1.110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1.141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1.032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146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0.885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1.005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8.722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0.778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1.286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1.396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0.723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3.612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158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1.006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1.013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0.048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0.766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1.305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20.933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481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0.769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4.337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2405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0.765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4.255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5775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0.858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1.166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30.691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2042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0.866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1.045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7.469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10443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1.034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5.892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lastRenderedPageBreak/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5922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1.401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77.972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5191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0.691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3.239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25964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3.495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NA</w:t>
            </w:r>
          </w:p>
        </w:tc>
      </w:tr>
    </w:tbl>
    <w:p w:rsidR="001D3247" w:rsidRDefault="001D3247">
      <w:pPr>
        <w:pStyle w:val="BodyText"/>
      </w:pPr>
    </w:p>
    <w:tbl>
      <w:tblPr>
        <w:tblStyle w:val="GridTable4-Accent1"/>
        <w:tblW w:w="0" w:type="pct"/>
        <w:tblLook w:val="0420" w:firstRow="1" w:lastRow="0" w:firstColumn="0" w:lastColumn="0" w:noHBand="0" w:noVBand="1"/>
      </w:tblPr>
      <w:tblGrid>
        <w:gridCol w:w="1114"/>
        <w:gridCol w:w="2668"/>
        <w:gridCol w:w="2660"/>
      </w:tblGrid>
      <w:tr w:rsidR="001D3247" w:rsidTr="008B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database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commonSupportLowerBound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commonSupportUpperBound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0.0335125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0.7694361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0.0325833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0.8661170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0.0128251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0.7139090</w:t>
            </w:r>
          </w:p>
        </w:tc>
      </w:tr>
    </w:tbl>
    <w:p w:rsidR="001D3247" w:rsidRDefault="00CD490A">
      <w:pPr>
        <w:pStyle w:val="BodyText"/>
      </w:pPr>
      <w:r>
        <w:t>Create propensity score deciles cutpoints.</w:t>
      </w:r>
    </w:p>
    <w:p w:rsidR="001D3247" w:rsidRDefault="00CD490A">
      <w:pPr>
        <w:pStyle w:val="Heading2"/>
      </w:pPr>
      <w:bookmarkStart w:id="4" w:name="covariate-balance"/>
      <w:bookmarkEnd w:id="4"/>
      <w:r>
        <w:t>Covariate balance</w:t>
      </w:r>
    </w:p>
    <w:p w:rsidR="001D3247" w:rsidRDefault="00CD490A">
      <w:pPr>
        <w:pStyle w:val="FirstParagraph"/>
      </w:pPr>
      <w:r>
        <w:t>Include only episodes with propensity scores in the common support region.</w:t>
      </w:r>
    </w:p>
    <w:p w:rsidR="001D3247" w:rsidRDefault="00CD490A">
      <w:pPr>
        <w:pStyle w:val="BodyText"/>
      </w:pPr>
      <w:r>
        <w:rPr>
          <w:b/>
        </w:rPr>
        <w:t>Propensity of TNF.</w:t>
      </w:r>
      <w:r>
        <w:t xml:space="preserve"> Create propensity score deciles.</w:t>
      </w:r>
    </w:p>
    <w:tbl>
      <w:tblPr>
        <w:tblStyle w:val="GridTable4-Accent1"/>
        <w:tblW w:w="0" w:type="pct"/>
        <w:tblLook w:val="0420" w:firstRow="1" w:lastRow="0" w:firstColumn="0" w:lastColumn="0" w:noHBand="0" w:noVBand="1"/>
      </w:tblPr>
      <w:tblGrid>
        <w:gridCol w:w="1114"/>
        <w:gridCol w:w="1912"/>
        <w:gridCol w:w="921"/>
        <w:gridCol w:w="715"/>
        <w:gridCol w:w="552"/>
        <w:gridCol w:w="568"/>
      </w:tblGrid>
      <w:tr w:rsidR="001D3247" w:rsidTr="008B4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database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psDecile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max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0.77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0.25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0.77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938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239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208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181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139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MPCD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554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lastRenderedPageBreak/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251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227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223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238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215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161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0.87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3424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1716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1284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918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834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706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569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482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Marketscan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197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0.59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0.83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973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791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596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536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417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344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370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267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0.69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10906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4252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2699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2006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1623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1428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1213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0.26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823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</w:tr>
      <w:tr w:rsidR="001D3247" w:rsidTr="008B4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628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</w:tr>
      <w:tr w:rsidR="001D3247" w:rsidTr="008B47DD"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Medicare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386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0.43</w:t>
            </w:r>
          </w:p>
        </w:tc>
        <w:tc>
          <w:tcPr>
            <w:tcW w:w="0" w:type="auto"/>
          </w:tcPr>
          <w:p w:rsidR="001D3247" w:rsidRDefault="00CD490A">
            <w:pPr>
              <w:pStyle w:val="Compact"/>
              <w:jc w:val="right"/>
            </w:pPr>
            <w:r>
              <w:t>0.71</w:t>
            </w:r>
          </w:p>
        </w:tc>
      </w:tr>
    </w:tbl>
    <w:p w:rsidR="001D3247" w:rsidRDefault="001D3247">
      <w:pPr>
        <w:pStyle w:val="BodyText"/>
      </w:pPr>
    </w:p>
    <w:p w:rsidR="001D3247" w:rsidRDefault="00CD490A">
      <w:pPr>
        <w:pStyle w:val="Heading3"/>
      </w:pPr>
      <w:bookmarkStart w:id="5" w:name="demographic-characteristics"/>
      <w:bookmarkEnd w:id="5"/>
      <w:r>
        <w:lastRenderedPageBreak/>
        <w:t>Demographic characteristics</w:t>
      </w:r>
    </w:p>
    <w:p w:rsidR="001D3247" w:rsidRDefault="00CD490A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 descr="covarBalGen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Gend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covarBalGender.png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covarBal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covarBalAge.png</w:t>
      </w:r>
    </w:p>
    <w:p w:rsidR="001D3247" w:rsidRDefault="00CD490A">
      <w:pPr>
        <w:pStyle w:val="Heading3"/>
      </w:pPr>
      <w:bookmarkStart w:id="6" w:name="other-covariates"/>
      <w:bookmarkEnd w:id="6"/>
      <w:r>
        <w:lastRenderedPageBreak/>
        <w:t>Other covariates</w:t>
      </w:r>
    </w:p>
    <w:p w:rsidR="001D3247" w:rsidRDefault="00CD490A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" name="Picture" descr="covarBalDiab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Diabet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covarBalDiabetes.png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covarBal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covarBalHT.png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covarBalMetab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etabSy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covarBalMetabSyn.png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covarBalNAFattyLiver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AFattyLiverDi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covarBalNAFattyLiverDis.png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 descr="covarBalCOPDEmphyse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PDEmphysem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covarBalCOPDEmphysema.png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covarBalOralCorticostero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ralCorticosteroi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covarBalOralCorticosteroid.png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covarBalCharlsonDich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harlsonDicho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covarBalCharlsonDichot.png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covarBalCharlsonCo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harlsonCon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covarBalCharlsonCont.png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covarBalInflamMark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flamMarke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covarBalInflamMarker.png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covarBalRxNSAI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NSAI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covarBalRxNSAID.png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covarBalRxHt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Ht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covarBalRxHtn.png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covarBalRxNarcoti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Narcotic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covarBalRxNarcotics.png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covarBalRxFungu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Fungu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covarBalRxFungus.png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covarBalRxOP_bisphos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OP_bisphosp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covarBalRxOP_bisphosp.png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covarBalRxThiazi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Thiazid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covarBalRxThiazide.png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covarBalRxAnticoagula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xAnticoagulan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covarBalRxAnticoagulant.png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covarBalIPAdmit12mPri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PAdmit12mPrio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covarBalIPAdmit12mPrior.png</w:t>
      </w:r>
    </w:p>
    <w:p w:rsidR="001D3247" w:rsidRDefault="00CD490A">
      <w:pPr>
        <w:pStyle w:val="Heading3"/>
      </w:pPr>
      <w:bookmarkStart w:id="7" w:name="comorbidities"/>
      <w:bookmarkEnd w:id="7"/>
      <w:r>
        <w:lastRenderedPageBreak/>
        <w:t>Comorbidities</w:t>
      </w:r>
    </w:p>
    <w:p w:rsidR="001D3247" w:rsidRDefault="00CD490A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1" name="Picture" descr="covarBalHemat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emat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covarBalHematCa.png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covarBalNMS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MS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covarBalNMSC.png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covarBalSolid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olidC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covarBalSolidCa.png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 descr="covarBalAortInsuffRegu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ortInsuffRegurg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covarBalAortInsuffRegurg.png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covarBalConduct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nductBlock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covarBalConductBlock.png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6" name="Picture" descr="covarBalM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I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covarBalMI.png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covarBalHos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ospInf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covarBalHospInf.png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covarBalOp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ppInf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covarBalOppInf.png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 descr="covarBalAmyloido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myloidosis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covarBalAmyloidosis.png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 descr="covarBalIgANep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gANeph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covarBalIgANeph.png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1" name="Picture" descr="covarBalNeph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ephSyn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covarBalNephSyn.png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2" name="Picture" descr="covarBalApicalPulmFi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picalPulmFib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covarBalApicalPulmFib.png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3" name="Picture" descr="covarBalInters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terstLungDis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covarBalInterstLungDis.png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4" name="Picture" descr="covarBalRestric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estrictLungDis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covarBalRestrictLungDis.png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5" name="Picture" descr="covarBalCaudaEqu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audaEquin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covarBalCaudaEquina.png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6" name="Picture" descr="covarBalSpinalCord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pinalCordComp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covarBalSpinalCordComp.png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7" name="Picture" descr="covarBalVert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VertFrac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covarBalVertFrac.png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8" name="Picture" descr="covarBalNonVertOs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onVertOsFrac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covarBalNonVertOsFrac.png</w:t>
      </w:r>
    </w:p>
    <w:p w:rsidR="001D3247" w:rsidRDefault="00CD490A">
      <w:pPr>
        <w:pStyle w:val="Heading3"/>
      </w:pPr>
      <w:bookmarkStart w:id="8" w:name="extra-articular-manifestations-eams"/>
      <w:bookmarkEnd w:id="8"/>
      <w:r>
        <w:lastRenderedPageBreak/>
        <w:t>Extra-articular manifestations (EAMs)</w:t>
      </w:r>
    </w:p>
    <w:p w:rsidR="001D3247" w:rsidRDefault="00CD490A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39" name="Picture" descr="covarBalCrohns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rohnsDis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covarBalCrohnsDis.png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0" name="Picture" descr="covarBalUlcerCol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lcerColitis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covarBalUlcerColitis.png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1" name="Picture" descr="covarBalPsoria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oriasis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covarBalPsoriasis.png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2" name="Picture" descr="covarBalP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A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</w:t>
      </w:r>
      <w:r>
        <w:t>lPSA.png</w:t>
      </w:r>
    </w:p>
    <w:p w:rsidR="001D3247" w:rsidRDefault="00CD490A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3" name="Picture" descr="covarBalUve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veitis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247" w:rsidRDefault="00CD490A">
      <w:pPr>
        <w:pStyle w:val="ImageCaption"/>
      </w:pPr>
      <w:r>
        <w:t>covarBalUveitis.png</w:t>
      </w:r>
    </w:p>
    <w:sectPr w:rsidR="001D324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490A" w:rsidRDefault="00CD490A">
      <w:pPr>
        <w:spacing w:after="0"/>
      </w:pPr>
      <w:r>
        <w:separator/>
      </w:r>
    </w:p>
  </w:endnote>
  <w:endnote w:type="continuationSeparator" w:id="0">
    <w:p w:rsidR="00CD490A" w:rsidRDefault="00CD49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490A" w:rsidRDefault="00CD490A">
      <w:r>
        <w:separator/>
      </w:r>
    </w:p>
  </w:footnote>
  <w:footnote w:type="continuationSeparator" w:id="0">
    <w:p w:rsidR="00CD490A" w:rsidRDefault="00CD4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BC15DCB"/>
    <w:multiLevelType w:val="multilevel"/>
    <w:tmpl w:val="300A68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133C6AF"/>
    <w:multiLevelType w:val="multilevel"/>
    <w:tmpl w:val="51A21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192C098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D3247"/>
    <w:rsid w:val="004E29B3"/>
    <w:rsid w:val="00590D07"/>
    <w:rsid w:val="00784D58"/>
    <w:rsid w:val="008B47DD"/>
    <w:rsid w:val="008D6863"/>
    <w:rsid w:val="00B86B75"/>
    <w:rsid w:val="00BC48D5"/>
    <w:rsid w:val="00C36279"/>
    <w:rsid w:val="00CD490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321711-52A5-445D-BECC-09F6DE3F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8B47DD"/>
    <w:pPr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GridTable4-Accent1">
    <w:name w:val="Grid Table 4 Accent 1"/>
    <w:basedOn w:val="TableNormal"/>
    <w:uiPriority w:val="49"/>
    <w:rsid w:val="008B47DD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../scripts/modelPropensityScore.sa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./figures/densityPS.sv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../figures/densityPS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../scripts/modelPropensityScore.sa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://onlinelibrary.wiley.com/doi/10.1002/sim.6607/abstract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47</Pages>
  <Words>1597</Words>
  <Characters>9109</Characters>
  <Application>Microsoft Office Word</Application>
  <DocSecurity>0</DocSecurity>
  <Lines>75</Lines>
  <Paragraphs>21</Paragraphs>
  <ScaleCrop>false</ScaleCrop>
  <Company>OHSU</Company>
  <LinksUpToDate>false</LinksUpToDate>
  <CharactersWithSpaces>10685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Benjamin Chan</cp:lastModifiedBy>
  <cp:revision>2</cp:revision>
  <dcterms:created xsi:type="dcterms:W3CDTF">2017-12-07T22:51:00Z</dcterms:created>
  <dcterms:modified xsi:type="dcterms:W3CDTF">2017-12-07T23:07:00Z</dcterms:modified>
</cp:coreProperties>
</file>