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2.png" ContentType="image/png"/>
  <Override PartName="/word/media/rId31.png" ContentType="image/png"/>
  <Override PartName="/word/media/rId64.png" ContentType="image/png"/>
  <Override PartName="/word/media/rId59.png" ContentType="image/png"/>
  <Override PartName="/word/media/rId67.png" ContentType="image/png"/>
  <Override PartName="/word/media/rId37.png" ContentType="image/png"/>
  <Override PartName="/word/media/rId70.png" ContentType="image/png"/>
  <Override PartName="/word/media/rId40.png" ContentType="image/png"/>
  <Override PartName="/word/media/rId39.png" ContentType="image/png"/>
  <Override PartName="/word/media/rId60.png" ContentType="image/png"/>
  <Override PartName="/word/media/rId75.png" ContentType="image/png"/>
  <Override PartName="/word/media/rId33.png" ContentType="image/png"/>
  <Override PartName="/word/media/rId51.png" ContentType="image/png"/>
  <Override PartName="/word/media/rId30.png" ContentType="image/png"/>
  <Override PartName="/word/media/rId34.png" ContentType="image/png"/>
  <Override PartName="/word/media/rId56.png" ContentType="image/png"/>
  <Override PartName="/word/media/rId62.png" ContentType="image/png"/>
  <Override PartName="/word/media/rId50.png" ContentType="image/png"/>
  <Override PartName="/word/media/rId65.png" ContentType="image/png"/>
  <Override PartName="/word/media/rId41.png" ContentType="image/png"/>
  <Override PartName="/word/media/rId68.png" ContentType="image/png"/>
  <Override PartName="/word/media/rId61.png" ContentType="image/png"/>
  <Override PartName="/word/media/rId35.png" ContentType="image/png"/>
  <Override PartName="/word/media/rId36.png" ContentType="image/png"/>
  <Override PartName="/word/media/rId57.png" ContentType="image/png"/>
  <Override PartName="/word/media/rId66.png" ContentType="image/png"/>
  <Override PartName="/word/media/rId73.png" ContentType="image/png"/>
  <Override PartName="/word/media/rId63.png" ContentType="image/png"/>
  <Override PartName="/word/media/rId38.png" ContentType="image/png"/>
  <Override PartName="/word/media/rId54.png" ContentType="image/png"/>
  <Override PartName="/word/media/rId78.png" ContentType="image/png"/>
  <Override PartName="/word/media/rId77.png" ContentType="image/png"/>
  <Override PartName="/word/media/rId69.png" ContentType="image/png"/>
  <Override PartName="/word/media/rId49.png" ContentType="image/png"/>
  <Override PartName="/word/media/rId48.png" ContentType="image/png"/>
  <Override PartName="/word/media/rId53.png" ContentType="image/png"/>
  <Override PartName="/word/media/rId45.png" ContentType="image/png"/>
  <Override PartName="/word/media/rId43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7.png" ContentType="image/png"/>
  <Override PartName="/word/media/rId58.png" ContentType="image/png"/>
  <Override PartName="/word/media/rId71.png" ContentType="image/png"/>
  <Override PartName="/word/media/rId76.png" ContentType="image/png"/>
  <Override PartName="/word/media/rId79.png" ContentType="image/png"/>
  <Override PartName="/word/media/rId72.png" ContentType="image/png"/>
  <Override PartName="/word/media/rId2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propensity-score"/>
      <w:r>
        <w:t xml:space="preserve">Propensity score</w:t>
      </w:r>
      <w:bookmarkEnd w:id="20"/>
    </w:p>
    <w:p>
      <w:pPr>
        <w:pStyle w:val="FirstParagraph"/>
      </w:pPr>
      <w:r>
        <w:t xml:space="preserve">November 26, 2018</w:t>
      </w:r>
    </w:p>
    <w:p>
      <w:pPr>
        <w:pStyle w:val="Heading2"/>
      </w:pPr>
      <w:bookmarkStart w:id="21" w:name="description-of-model"/>
      <w:r>
        <w:t xml:space="preserve">Description of model</w:t>
      </w:r>
      <w:bookmarkEnd w:id="21"/>
    </w:p>
    <w:p>
      <w:pPr>
        <w:pStyle w:val="FirstParagraph"/>
      </w:pPr>
      <w:r>
        <w:t xml:space="preserve">See</w:t>
      </w:r>
      <w:r>
        <w:t xml:space="preserve"> </w:t>
      </w:r>
      <w:hyperlink r:id="rId22">
        <w:r>
          <w:rPr>
            <w:rStyle w:val="VerbatimChar"/>
            <w:rStyle w:val="Hyperlink"/>
          </w:rPr>
          <w:t xml:space="preserve">modelPropensityScore.sas</w:t>
        </w:r>
      </w:hyperlink>
      <w:r>
        <w:t xml:space="preserve"> </w:t>
      </w:r>
      <w:r>
        <w:t xml:space="preserve">script for details on model.</w:t>
      </w:r>
    </w:p>
    <w:p>
      <w:pPr>
        <w:pStyle w:val="BodyText"/>
      </w:pPr>
      <w:r>
        <w:t xml:space="preserve">The propensity of exposure to the two treatments: TNF versus DMARD, NSAID, or no exposure, was modeled using a logistic regression model (SAS</w:t>
      </w:r>
      <w:r>
        <w:t xml:space="preserve"> </w:t>
      </w:r>
      <w:r>
        <w:rPr>
          <w:rStyle w:val="VerbatimChar"/>
        </w:rPr>
        <w:t xml:space="preserve">proc logistic</w:t>
      </w:r>
      <w:r>
        <w:t xml:space="preserve">).</w:t>
      </w:r>
    </w:p>
    <w:p>
      <w:pPr>
        <w:pStyle w:val="BodyText"/>
      </w:pPr>
      <w:r>
        <w:t xml:space="preserve">Included independent variables:</w:t>
      </w:r>
    </w:p>
    <w:tbl>
      <w:tblPr>
        <w:tblStyle w:val="Table"/>
        <w:tblW w:type="pct" w:w="5000.0"/>
        <w:tblLook w:firstRow="1"/>
      </w:tblPr>
      <w:tblGrid>
        <w:gridCol w:w="4264"/>
        <w:gridCol w:w="3655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Variable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</w:t>
            </w:r>
          </w:p>
        </w:tc>
        <w:tc>
          <w:p>
            <w:pPr>
              <w:pStyle w:val="Compact"/>
              <w:jc w:val="left"/>
            </w:pPr>
            <w:r>
              <w:t xml:space="preserve">Categorized: &lt;19, 19-29, 30-39, 40-49, 50-59, 60-69, 70+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p>
            <w:pPr>
              <w:pStyle w:val="Compact"/>
              <w:jc w:val="left"/>
            </w:pPr>
            <w:r>
              <w:t xml:space="preserve">Male, Female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indAmyloidosis</w:t>
            </w:r>
          </w:p>
        </w:tc>
        <w:tc>
          <w:p>
            <w:pPr>
              <w:pStyle w:val="Compact"/>
              <w:jc w:val="left"/>
            </w:pPr>
            <w:r>
              <w:t xml:space="preserve">Amyloidosis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indAortInsuffRegurg</w:t>
            </w:r>
          </w:p>
        </w:tc>
        <w:tc>
          <w:p>
            <w:pPr>
              <w:pStyle w:val="Compact"/>
              <w:jc w:val="left"/>
            </w:pPr>
            <w:r>
              <w:t xml:space="preserve">Aortic Insufficiency/Aortic Regurgitation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indApicalPulmFib</w:t>
            </w:r>
          </w:p>
        </w:tc>
        <w:tc>
          <w:p>
            <w:pPr>
              <w:pStyle w:val="Compact"/>
              <w:jc w:val="left"/>
            </w:pPr>
            <w:r>
              <w:t xml:space="preserve">Apical Pulmonary fibrosis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indCaudaEquina</w:t>
            </w:r>
          </w:p>
        </w:tc>
        <w:tc>
          <w:p>
            <w:pPr>
              <w:pStyle w:val="Compact"/>
              <w:jc w:val="left"/>
            </w:pPr>
            <w:r>
              <w:t xml:space="preserve">Cauda Equina syndrome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indVertFrac</w:t>
            </w:r>
          </w:p>
        </w:tc>
        <w:tc>
          <w:p>
            <w:pPr>
              <w:pStyle w:val="Compact"/>
              <w:jc w:val="left"/>
            </w:pPr>
            <w:r>
              <w:t xml:space="preserve">Clinical vertebral fracture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indConductBlock</w:t>
            </w:r>
          </w:p>
        </w:tc>
        <w:tc>
          <w:p>
            <w:pPr>
              <w:pStyle w:val="Compact"/>
              <w:jc w:val="left"/>
            </w:pPr>
            <w:r>
              <w:t xml:space="preserve">Conduction Block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indCrohnsDis</w:t>
            </w:r>
          </w:p>
        </w:tc>
        <w:tc>
          <w:p>
            <w:pPr>
              <w:pStyle w:val="Compact"/>
              <w:jc w:val="left"/>
            </w:pPr>
            <w:r>
              <w:t xml:space="preserve">Crohnâ€™s Disease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indHematCa</w:t>
            </w:r>
          </w:p>
        </w:tc>
        <w:tc>
          <w:p>
            <w:pPr>
              <w:pStyle w:val="Compact"/>
              <w:jc w:val="left"/>
            </w:pPr>
            <w:r>
              <w:t xml:space="preserve">Hematologic Cancer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indHospInf</w:t>
            </w:r>
          </w:p>
        </w:tc>
        <w:tc>
          <w:p>
            <w:pPr>
              <w:pStyle w:val="Compact"/>
              <w:jc w:val="left"/>
            </w:pPr>
            <w:r>
              <w:t xml:space="preserve">Hospitalized infection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indIgANeph</w:t>
            </w:r>
          </w:p>
        </w:tc>
        <w:tc>
          <w:p>
            <w:pPr>
              <w:pStyle w:val="Compact"/>
              <w:jc w:val="left"/>
            </w:pPr>
            <w:r>
              <w:t xml:space="preserve">IgA nephropathy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indInterstLungDis</w:t>
            </w:r>
          </w:p>
        </w:tc>
        <w:tc>
          <w:p>
            <w:pPr>
              <w:pStyle w:val="Compact"/>
              <w:jc w:val="left"/>
            </w:pPr>
            <w:r>
              <w:t xml:space="preserve">Interstitial lung disease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indMI</w:t>
            </w:r>
          </w:p>
        </w:tc>
        <w:tc>
          <w:p>
            <w:pPr>
              <w:pStyle w:val="Compact"/>
              <w:jc w:val="left"/>
            </w:pPr>
            <w:r>
              <w:t xml:space="preserve">Myocardial infarction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indNephSyn</w:t>
            </w:r>
          </w:p>
        </w:tc>
        <w:tc>
          <w:p>
            <w:pPr>
              <w:pStyle w:val="Compact"/>
              <w:jc w:val="left"/>
            </w:pPr>
            <w:r>
              <w:t xml:space="preserve">Nephrotic syndrome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indNMSC</w:t>
            </w:r>
          </w:p>
        </w:tc>
        <w:tc>
          <w:p>
            <w:pPr>
              <w:pStyle w:val="Compact"/>
              <w:jc w:val="left"/>
            </w:pPr>
            <w:r>
              <w:t xml:space="preserve">Non Melanoma Skin Cancer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indNonVertOsFrac</w:t>
            </w:r>
          </w:p>
        </w:tc>
        <w:tc>
          <w:p>
            <w:pPr>
              <w:pStyle w:val="Compact"/>
              <w:jc w:val="left"/>
            </w:pPr>
            <w:r>
              <w:t xml:space="preserve">Non-vertebral osteoporotic fracture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indOppInf</w:t>
            </w:r>
          </w:p>
        </w:tc>
        <w:tc>
          <w:p>
            <w:pPr>
              <w:pStyle w:val="Compact"/>
              <w:jc w:val="left"/>
            </w:pPr>
            <w:r>
              <w:t xml:space="preserve">Opportunistic infection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indPsoriasis</w:t>
            </w:r>
          </w:p>
        </w:tc>
        <w:tc>
          <w:p>
            <w:pPr>
              <w:pStyle w:val="Compact"/>
              <w:jc w:val="left"/>
            </w:pPr>
            <w:r>
              <w:t xml:space="preserve">Psoriasis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indPSA</w:t>
            </w:r>
          </w:p>
        </w:tc>
        <w:tc>
          <w:p>
            <w:pPr>
              <w:pStyle w:val="Compact"/>
              <w:jc w:val="left"/>
            </w:pPr>
            <w:r>
              <w:t xml:space="preserve">Psoriatic arthritis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indRestrictLungDis</w:t>
            </w:r>
          </w:p>
        </w:tc>
        <w:tc>
          <w:p>
            <w:pPr>
              <w:pStyle w:val="Compact"/>
              <w:jc w:val="left"/>
            </w:pPr>
            <w:r>
              <w:t xml:space="preserve">Restrictive lung disease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indSolidCa</w:t>
            </w:r>
          </w:p>
        </w:tc>
        <w:tc>
          <w:p>
            <w:pPr>
              <w:pStyle w:val="Compact"/>
              <w:jc w:val="left"/>
            </w:pPr>
            <w:r>
              <w:t xml:space="preserve">Solid Cancer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indSpinalCordComp</w:t>
            </w:r>
          </w:p>
        </w:tc>
        <w:tc>
          <w:p>
            <w:pPr>
              <w:pStyle w:val="Compact"/>
              <w:jc w:val="left"/>
            </w:pPr>
            <w:r>
              <w:t xml:space="preserve">Spinal Cord compression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indUlcerColitis</w:t>
            </w:r>
          </w:p>
        </w:tc>
        <w:tc>
          <w:p>
            <w:pPr>
              <w:pStyle w:val="Compact"/>
              <w:jc w:val="left"/>
            </w:pPr>
            <w:r>
              <w:t xml:space="preserve">Ulcerative Colitis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indUveitis</w:t>
            </w:r>
          </w:p>
        </w:tc>
        <w:tc>
          <w:p>
            <w:pPr>
              <w:pStyle w:val="Compact"/>
              <w:jc w:val="left"/>
            </w:pPr>
            <w:r>
              <w:t xml:space="preserve">Uveitis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indDiabetes</w:t>
            </w:r>
          </w:p>
        </w:tc>
        <w:tc>
          <w:p>
            <w:pPr>
              <w:pStyle w:val="Compact"/>
              <w:jc w:val="left"/>
            </w:pPr>
            <w:r>
              <w:t xml:space="preserve">Diabetes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indHT</w:t>
            </w:r>
          </w:p>
        </w:tc>
        <w:tc>
          <w:p>
            <w:pPr>
              <w:pStyle w:val="Compact"/>
              <w:jc w:val="left"/>
            </w:pPr>
            <w:r>
              <w:t xml:space="preserve">Hypertention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indMetabSyn</w:t>
            </w:r>
          </w:p>
        </w:tc>
        <w:tc>
          <w:p>
            <w:pPr>
              <w:pStyle w:val="Compact"/>
              <w:jc w:val="left"/>
            </w:pPr>
            <w:r>
              <w:t xml:space="preserve">Metabolic syndrome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indNAFattyLiverDis</w:t>
            </w:r>
          </w:p>
        </w:tc>
        <w:tc>
          <w:p>
            <w:pPr>
              <w:pStyle w:val="Compact"/>
              <w:jc w:val="left"/>
            </w:pPr>
            <w:r>
              <w:t xml:space="preserve">Non-alcoholic fatty liver disease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indCOPDEmphysema</w:t>
            </w:r>
          </w:p>
        </w:tc>
        <w:tc>
          <w:p>
            <w:pPr>
              <w:pStyle w:val="Compact"/>
              <w:jc w:val="left"/>
            </w:pPr>
            <w:r>
              <w:t xml:space="preserve">COPD or emphysema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meanPredEqDoseCat</w:t>
            </w:r>
          </w:p>
        </w:tc>
        <w:tc>
          <w:p>
            <w:pPr>
              <w:pStyle w:val="Compact"/>
              <w:jc w:val="left"/>
            </w:pPr>
            <w:r>
              <w:t xml:space="preserve">Categorized: None, Low (&lt;2.5 mg/d), Medium-Low (2.5-5 mg/d), Medium-High (5-10 mg/d), High (10+ mg/d)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quartileCharlson</w:t>
            </w:r>
          </w:p>
        </w:tc>
        <w:tc>
          <w:p>
            <w:pPr>
              <w:pStyle w:val="Compact"/>
              <w:jc w:val="left"/>
            </w:pPr>
            <w:r>
              <w:t xml:space="preserve">Charlson comorbidity index: quartiles within data source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indInflamMarker</w:t>
            </w:r>
          </w:p>
        </w:tc>
        <w:tc>
          <w:p>
            <w:pPr>
              <w:pStyle w:val="Compact"/>
              <w:jc w:val="left"/>
            </w:pPr>
            <w:r>
              <w:t xml:space="preserve">1+ Sedimentation rate, erythrocyte or C-reactive protein CPT code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indRxNSAID</w:t>
            </w:r>
          </w:p>
        </w:tc>
        <w:tc>
          <w:p>
            <w:pPr>
              <w:pStyle w:val="Compact"/>
              <w:jc w:val="left"/>
            </w:pPr>
            <w:r>
              <w:t xml:space="preserve">Prescription drug indicator: NSAID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indRxHtn</w:t>
            </w:r>
          </w:p>
        </w:tc>
        <w:tc>
          <w:p>
            <w:pPr>
              <w:pStyle w:val="Compact"/>
              <w:jc w:val="left"/>
            </w:pPr>
            <w:r>
              <w:t xml:space="preserve">Prescription drug indicator: Antihypertensive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indRxNarcotics</w:t>
            </w:r>
          </w:p>
        </w:tc>
        <w:tc>
          <w:p>
            <w:pPr>
              <w:pStyle w:val="Compact"/>
              <w:jc w:val="left"/>
            </w:pPr>
            <w:r>
              <w:t xml:space="preserve">Prescription drug indicator: Narcotic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indRxFungus</w:t>
            </w:r>
          </w:p>
        </w:tc>
        <w:tc>
          <w:p>
            <w:pPr>
              <w:pStyle w:val="Compact"/>
              <w:jc w:val="left"/>
            </w:pPr>
            <w:r>
              <w:t xml:space="preserve">Prescription drug indicator: Antifungal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indRxOP_bisphosp</w:t>
            </w:r>
          </w:p>
        </w:tc>
        <w:tc>
          <w:p>
            <w:pPr>
              <w:pStyle w:val="Compact"/>
              <w:jc w:val="left"/>
            </w:pPr>
            <w:r>
              <w:t xml:space="preserve">Prescription drug indicator: Bisphosphonate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indRxThiazide</w:t>
            </w:r>
          </w:p>
        </w:tc>
        <w:tc>
          <w:p>
            <w:pPr>
              <w:pStyle w:val="Compact"/>
              <w:jc w:val="left"/>
            </w:pPr>
            <w:r>
              <w:t xml:space="preserve">Prescription drug indicator: Thiazide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indRxAnticoagulant</w:t>
            </w:r>
          </w:p>
        </w:tc>
        <w:tc>
          <w:p>
            <w:pPr>
              <w:pStyle w:val="Compact"/>
              <w:jc w:val="left"/>
            </w:pPr>
            <w:r>
              <w:t xml:space="preserve">Prescription drug indicator: Anticoagulant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indRxAntibiotics</w:t>
            </w:r>
          </w:p>
        </w:tc>
        <w:tc>
          <w:p>
            <w:pPr>
              <w:pStyle w:val="Compact"/>
              <w:jc w:val="left"/>
            </w:pPr>
            <w:r>
              <w:t xml:space="preserve">Prescription drug indicator: Antibiotics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countIPAdmit12mPrior</w:t>
            </w:r>
          </w:p>
        </w:tc>
        <w:tc>
          <w:p>
            <w:pPr>
              <w:pStyle w:val="Compact"/>
              <w:jc w:val="left"/>
            </w:pPr>
            <w:r>
              <w:t xml:space="preserve">Number of inpatient admission 12 months prior to exposure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indERVisit12mPrior</w:t>
            </w:r>
          </w:p>
        </w:tc>
        <w:tc>
          <w:p>
            <w:pPr>
              <w:pStyle w:val="Compact"/>
              <w:jc w:val="left"/>
            </w:pPr>
            <w:r>
              <w:t xml:space="preserve">ER visit 12 months prior to exposure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countAVRheum12mPrior</w:t>
            </w:r>
          </w:p>
        </w:tc>
        <w:tc>
          <w:p>
            <w:pPr>
              <w:pStyle w:val="Compact"/>
              <w:jc w:val="left"/>
            </w:pPr>
            <w:r>
              <w:t xml:space="preserve">Number of rheumatologist visits 12 months prior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indRxBiologics</w:t>
            </w:r>
          </w:p>
        </w:tc>
        <w:tc>
          <w:p>
            <w:pPr>
              <w:pStyle w:val="Compact"/>
              <w:jc w:val="left"/>
            </w:pPr>
            <w:r>
              <w:t xml:space="preserve">Prescription drug indicator: Biologics, 7+ months prior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indOutpatientInfection</w:t>
            </w:r>
          </w:p>
        </w:tc>
        <w:tc>
          <w:p>
            <w:pPr>
              <w:pStyle w:val="Compact"/>
              <w:jc w:val="left"/>
            </w:pPr>
            <w:r>
              <w:t xml:space="preserve">Outpatient infectiion</w:t>
            </w:r>
          </w:p>
        </w:tc>
      </w:tr>
    </w:tbl>
    <w:p>
      <w:pPr>
        <w:pStyle w:val="BodyText"/>
      </w:pPr>
      <w:r>
        <w:t xml:space="preserve">Model output is probability of exposure to TNF.</w:t>
      </w:r>
    </w:p>
    <w:p>
      <w:pPr>
        <w:pStyle w:val="BodyText"/>
      </w:pPr>
      <w:r>
        <w:t xml:space="preserve">Model estimation was performed separately for the 3 data sources: MPCD, Marketscan, and Medicare.</w:t>
      </w:r>
      <w:r>
        <w:t xml:space="preserve"> </w:t>
      </w:r>
      <w:r>
        <w:t xml:space="preserve">Independent variables were excluded from model estimation if they led to unstable estimates when included in data source-specific models.</w:t>
      </w:r>
      <w:r>
        <w:t xml:space="preserve"> </w:t>
      </w:r>
      <w:r>
        <w:t xml:space="preserve">This can occur if the covariate is so rare that zero records with this covariate appear in the model estimation cohort.</w:t>
      </w:r>
    </w:p>
    <w:p>
      <w:pPr>
        <w:pStyle w:val="BodyText"/>
      </w:pPr>
      <w:r>
        <w:t xml:space="preserve">The common support region lower bound is the maximum of the lowest TNF propensity score among the 2 exposure groups.</w:t>
      </w:r>
      <w:r>
        <w:t xml:space="preserve"> </w:t>
      </w:r>
      <w:r>
        <w:t xml:space="preserve">The common support region upper bound is the minimum of the greatest TNF propensity score among the 2 exposure groups.</w:t>
      </w:r>
    </w:p>
    <w:p>
      <w:pPr>
        <w:pStyle w:val="BodyText"/>
      </w:pPr>
      <w:r>
        <w:t xml:space="preserve">To check covariate balance, subjects are partitioned into deciles defined by the TNF propensity score, regardless of true exposure.</w:t>
      </w:r>
      <w:r>
        <w:t xml:space="preserve"> </w:t>
      </w:r>
      <w:r>
        <w:t xml:space="preserve">Model covariates are plotted on the y-axis in relation to TNF propensity decile on the x-axis.</w:t>
      </w:r>
      <w:r>
        <w:t xml:space="preserve"> </w:t>
      </w:r>
      <w:r>
        <w:t xml:space="preserve">Comparisons are made between exposure groups to check for balance.</w:t>
      </w:r>
      <w:r>
        <w:t xml:space="preserve"> </w:t>
      </w:r>
      <w:r>
        <w:t xml:space="preserve">Balance is indicated if the plots overlap.</w:t>
      </w:r>
      <w:r>
        <w:t xml:space="preserve"> </w:t>
      </w:r>
      <w:r>
        <w:t xml:space="preserve">Systematic deviations of the lines indicate residual imbalance not accounted for by the propensity scores.</w:t>
      </w:r>
      <w:r>
        <w:t xml:space="preserve"> </w:t>
      </w:r>
      <w:r>
        <w:t xml:space="preserve">Variables that exhibit such deviations should be considered for inclusion as a covariate in the outcomes models.</w:t>
      </w:r>
    </w:p>
    <w:p>
      <w:pPr>
        <w:pStyle w:val="BodyText"/>
      </w:pPr>
      <w:r>
        <w:t xml:space="preserve">Inverse probability treatment weight (IPTW) for TNF exposure was calculated as</w:t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P</m:t>
          </m:r>
          <m:r>
            <m:t>T</m:t>
          </m:r>
          <m:sSub>
            <m:e>
              <m:r>
                <m:t>W</m:t>
              </m:r>
            </m:e>
            <m:sub>
              <m:r>
                <m:rPr>
                  <m:sty m:val="p"/>
                </m:rPr>
                <m:t>TNF</m:t>
              </m:r>
            </m:sub>
          </m:sSub>
          <m:r>
            <m:t>=</m:t>
          </m:r>
          <m:f>
            <m:fPr>
              <m:type m:val="bar"/>
            </m:fPr>
            <m:num>
              <m:sSub>
                <m:e>
                  <m:r>
                    <m:t>I</m:t>
                  </m:r>
                </m:e>
                <m:sub>
                  <m:r>
                    <m:rPr>
                      <m:sty m:val="p"/>
                    </m:rPr>
                    <m:t>TNF</m:t>
                  </m:r>
                </m:sub>
              </m:sSub>
            </m:num>
            <m:den>
              <m:sSub>
                <m:e>
                  <m:groupChr>
                    <m:groupChrPr>
                      <m:chr m:val="̂"/>
                      <m:pos m:val="top"/>
                      <m:vertJc m:val="bot"/>
                    </m:groupChrPr>
                    <m:e>
                      <m:r>
                        <m:t>p</m:t>
                      </m:r>
                    </m:e>
                  </m:groupChr>
                </m:e>
                <m:sub>
                  <m:r>
                    <m:rPr>
                      <m:sty m:val="p"/>
                    </m:rPr>
                    <m:t>TNF</m:t>
                  </m:r>
                </m:sub>
              </m:sSub>
            </m:den>
          </m:f>
          <m:r>
            <m:t>+</m:t>
          </m:r>
          <m:f>
            <m:fPr>
              <m:type m:val="bar"/>
            </m:fPr>
            <m:num>
              <m:r>
                <m:t>1</m:t>
              </m:r>
              <m:r>
                <m:t>−</m:t>
              </m:r>
              <m:sSub>
                <m:e>
                  <m:r>
                    <m:t>I</m:t>
                  </m:r>
                </m:e>
                <m:sub>
                  <m:r>
                    <m:rPr>
                      <m:sty m:val="p"/>
                    </m:rPr>
                    <m:t>TNF</m:t>
                  </m:r>
                </m:sub>
              </m:sSub>
            </m:num>
            <m:den>
              <m:r>
                <m:t>1</m:t>
              </m:r>
              <m:r>
                <m:t>−</m:t>
              </m:r>
              <m:sSub>
                <m:e>
                  <m:groupChr>
                    <m:groupChrPr>
                      <m:chr m:val="̂"/>
                      <m:pos m:val="top"/>
                      <m:vertJc m:val="bot"/>
                    </m:groupChrPr>
                    <m:e>
                      <m:r>
                        <m:t>p</m:t>
                      </m:r>
                    </m:e>
                  </m:groupChr>
                </m:e>
                <m:sub>
                  <m:r>
                    <m:rPr>
                      <m:sty m:val="p"/>
                    </m:rPr>
                    <m:t>TNF</m:t>
                  </m:r>
                </m:sub>
              </m:sSub>
            </m:den>
          </m:f>
        </m:oMath>
      </m:oMathPara>
    </w:p>
    <w:p>
      <w:pPr>
        <w:pStyle w:val="FirstParagraph"/>
      </w:pPr>
      <w:r>
        <w:t xml:space="preserve">where</w:t>
      </w:r>
      <w:r>
        <w:t xml:space="preserve"> </w:t>
      </w:r>
      <m:oMath>
        <m:sSub>
          <m:e>
            <m:r>
              <m:t>I</m:t>
            </m:r>
          </m:e>
          <m:sub>
            <m:r>
              <m:rPr>
                <m:sty m:val="p"/>
              </m:rPr>
              <m:t>TNF</m:t>
            </m:r>
          </m:sub>
        </m:sSub>
      </m:oMath>
      <w:r>
        <w:t xml:space="preserve"> </w:t>
      </w:r>
      <w:r>
        <w:t xml:space="preserve">is a 0/1 indicator for TNF exposure.</w:t>
      </w:r>
    </w:p>
    <w:p>
      <w:pPr>
        <w:pStyle w:val="BodyText"/>
      </w:pPr>
      <w:r>
        <w:t xml:space="preserve">IPTW will be</w:t>
      </w:r>
      <w:r>
        <w:t xml:space="preserve"> </w:t>
      </w:r>
      <w:r>
        <w:rPr>
          <w:b/>
        </w:rPr>
        <w:t xml:space="preserve">low</w:t>
      </w:r>
      <w:r>
        <w:t xml:space="preserve"> </w:t>
      </w:r>
      <w:r>
        <w:t xml:space="preserve">if</w:t>
      </w:r>
    </w:p>
    <w:p>
      <w:pPr>
        <w:pStyle w:val="Compact"/>
        <w:numPr>
          <w:numId w:val="1001"/>
          <w:ilvl w:val="0"/>
        </w:numPr>
      </w:pPr>
      <w:r>
        <w:t xml:space="preserve">True exposure was TNF</w:t>
      </w:r>
      <w:r>
        <w:t xml:space="preserve"> </w:t>
      </w:r>
      <w:r>
        <w:rPr>
          <w:b/>
        </w:rPr>
        <w:t xml:space="preserve">and</w:t>
      </w:r>
      <w:r>
        <w:t xml:space="preserve"> </w:t>
      </w:r>
      <w:r>
        <w:t xml:space="preserve">propensity for TNF was high, or</w:t>
      </w:r>
    </w:p>
    <w:p>
      <w:pPr>
        <w:pStyle w:val="Compact"/>
        <w:numPr>
          <w:numId w:val="1001"/>
          <w:ilvl w:val="0"/>
        </w:numPr>
      </w:pPr>
      <w:r>
        <w:t xml:space="preserve">True exposure was not TNF</w:t>
      </w:r>
      <w:r>
        <w:t xml:space="preserve"> </w:t>
      </w:r>
      <w:r>
        <w:rPr>
          <w:b/>
        </w:rPr>
        <w:t xml:space="preserve">and</w:t>
      </w:r>
      <w:r>
        <w:t xml:space="preserve"> </w:t>
      </w:r>
      <w:r>
        <w:t xml:space="preserve">propensity for TNF was low</w:t>
      </w:r>
    </w:p>
    <w:p>
      <w:pPr>
        <w:pStyle w:val="FirstParagraph"/>
      </w:pPr>
      <w:r>
        <w:t xml:space="preserve">I.e., individuals are weighted higher if the true exposure is contrary to the propensity.</w:t>
      </w:r>
    </w:p>
    <w:p>
      <w:pPr>
        <w:pStyle w:val="BodyText"/>
      </w:pPr>
      <w:r>
        <w:t xml:space="preserve">Stabilized IPTW are calculated as described in</w:t>
      </w:r>
      <w:r>
        <w:t xml:space="preserve"> </w:t>
      </w:r>
      <w:r>
        <w:t xml:space="preserve">Austin, P. C., and Stuart, E. A. (2015) Moving towards best practice when</w:t>
      </w:r>
      <w:r>
        <w:t xml:space="preserve"> </w:t>
      </w:r>
      <w:r>
        <w:t xml:space="preserve">using inverse probability of treatment weighting (IPTW) using the propensity</w:t>
      </w:r>
      <w:r>
        <w:t xml:space="preserve"> </w:t>
      </w:r>
      <w:r>
        <w:t xml:space="preserve">score to estimate causal treatment effects in observational studies. Statist.</w:t>
      </w:r>
      <w:r>
        <w:t xml:space="preserve"> </w:t>
      </w:r>
      <w:r>
        <w:t xml:space="preserve">Med., 34: 3661â€“3679.</w:t>
      </w:r>
      <w:r>
        <w:t xml:space="preserve"> </w:t>
      </w:r>
      <w:r>
        <w:t xml:space="preserve">doi:</w:t>
      </w:r>
      <w:r>
        <w:t xml:space="preserve"> </w:t>
      </w:r>
      <w:hyperlink r:id="rId23">
        <w:r>
          <w:rPr>
            <w:rStyle w:val="Hyperlink"/>
          </w:rPr>
          <w:t xml:space="preserve">10.1002/sim.6607</w:t>
        </w:r>
      </w:hyperlink>
      <w:r>
        <w:t xml:space="preserve">.</w:t>
      </w:r>
    </w:p>
    <w:p>
      <w:pPr>
        <w:pStyle w:val="Heading2"/>
      </w:pPr>
      <w:bookmarkStart w:id="24" w:name="import-data-sets"/>
      <w:r>
        <w:t xml:space="preserve">Import data sets</w:t>
      </w:r>
      <w:bookmarkEnd w:id="24"/>
    </w:p>
    <w:p>
      <w:pPr>
        <w:pStyle w:val="FirstParagraph"/>
      </w:pPr>
      <w:r>
        <w:t xml:space="preserve">Read deidentified propensity score data.</w:t>
      </w:r>
      <w:r>
        <w:t xml:space="preserve"> </w:t>
      </w:r>
      <w:r>
        <w:t xml:space="preserve">Data was created by</w:t>
      </w:r>
      <w:r>
        <w:t xml:space="preserve"> </w:t>
      </w:r>
      <w:hyperlink r:id="rId22">
        <w:r>
          <w:rPr>
            <w:rStyle w:val="VerbatimChar"/>
            <w:rStyle w:val="Hyperlink"/>
          </w:rPr>
          <w:t xml:space="preserve">modelPropensityScore.sas</w:t>
        </w:r>
      </w:hyperlink>
      <w:r>
        <w:t xml:space="preserve">.</w:t>
      </w:r>
    </w:p>
    <w:p>
      <w:pPr>
        <w:pStyle w:val="Compact"/>
        <w:numPr>
          <w:numId w:val="1002"/>
          <w:ilvl w:val="0"/>
        </w:numPr>
      </w:pPr>
      <w:r>
        <w:t xml:space="preserve">Image files saved as</w:t>
      </w:r>
      <w:r>
        <w:t xml:space="preserve"> </w:t>
      </w:r>
      <w:hyperlink r:id="rId25">
        <w:r>
          <w:rPr>
            <w:rStyle w:val="Hyperlink"/>
          </w:rPr>
          <w:t xml:space="preserve">PNG</w:t>
        </w:r>
      </w:hyperlink>
      <w:r>
        <w:t xml:space="preserve">,</w:t>
      </w:r>
      <w:r>
        <w:t xml:space="preserve"> </w:t>
      </w:r>
      <w:hyperlink r:id="rId26">
        <w:r>
          <w:rPr>
            <w:rStyle w:val="Hyperlink"/>
          </w:rPr>
          <w:t xml:space="preserve">SVG</w:t>
        </w:r>
      </w:hyperlink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Densities propensity scores.png" title="" id="1" name="Picture"/>
            <a:graphic>
              <a:graphicData uri="http://schemas.openxmlformats.org/drawingml/2006/picture">
                <pic:pic>
                  <pic:nvPicPr>
                    <pic:cNvPr descr="../figures/density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Densities propensity scores.png</w:t>
      </w:r>
    </w:p>
    <w:p>
      <w:pPr>
        <w:pStyle w:val="BodyText"/>
      </w:pPr>
      <w:r>
        <w:t xml:space="preserve">Summarize propensity scores and IPTWs by data source and exposure.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indCommonSupport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exposure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minPS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maxPS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minIPTW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maxIPTW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0.984</w:t>
            </w:r>
          </w:p>
        </w:tc>
        <w:tc>
          <w:p>
            <w:pPr>
              <w:pStyle w:val="Compact"/>
              <w:jc w:val="right"/>
            </w:pPr>
            <w:r>
              <w:t xml:space="preserve">1.017</w:t>
            </w:r>
          </w:p>
        </w:tc>
        <w:tc>
          <w:p>
            <w:pPr>
              <w:pStyle w:val="Compact"/>
              <w:jc w:val="right"/>
            </w:pPr>
            <w:r>
              <w:t xml:space="preserve">1.026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DMARD, NSAID,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98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0.943</w:t>
            </w:r>
          </w:p>
        </w:tc>
        <w:tc>
          <w:p>
            <w:pPr>
              <w:pStyle w:val="Compact"/>
              <w:jc w:val="right"/>
            </w:pPr>
            <w:r>
              <w:t xml:space="preserve">1.061</w:t>
            </w:r>
          </w:p>
        </w:tc>
        <w:tc>
          <w:p>
            <w:pPr>
              <w:pStyle w:val="Compact"/>
              <w:jc w:val="right"/>
            </w:pPr>
            <w:r>
              <w:t xml:space="preserve">1.106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DMARD, NSAID,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77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  <w:tc>
          <w:p>
            <w:pPr>
              <w:pStyle w:val="Compact"/>
              <w:jc w:val="right"/>
            </w:pPr>
            <w:r>
              <w:t xml:space="preserve">1.012</w:t>
            </w:r>
          </w:p>
        </w:tc>
        <w:tc>
          <w:p>
            <w:pPr>
              <w:pStyle w:val="Compact"/>
              <w:jc w:val="right"/>
            </w:pPr>
            <w:r>
              <w:t xml:space="preserve">1.023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0.821</w:t>
            </w:r>
          </w:p>
        </w:tc>
        <w:tc>
          <w:p>
            <w:pPr>
              <w:pStyle w:val="Compact"/>
              <w:jc w:val="right"/>
            </w:pPr>
            <w:r>
              <w:t xml:space="preserve">0.821</w:t>
            </w:r>
          </w:p>
        </w:tc>
        <w:tc>
          <w:p>
            <w:pPr>
              <w:pStyle w:val="Compact"/>
              <w:jc w:val="right"/>
            </w:pPr>
            <w:r>
              <w:t xml:space="preserve">1.217</w:t>
            </w:r>
          </w:p>
        </w:tc>
        <w:tc>
          <w:p>
            <w:pPr>
              <w:pStyle w:val="Compact"/>
              <w:jc w:val="right"/>
            </w:pPr>
            <w:r>
              <w:t xml:space="preserve">1.217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DMARD, NSAID,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52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855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0.970</w:t>
            </w:r>
          </w:p>
        </w:tc>
        <w:tc>
          <w:p>
            <w:pPr>
              <w:pStyle w:val="Compact"/>
              <w:jc w:val="right"/>
            </w:pPr>
            <w:r>
              <w:t xml:space="preserve">1.030</w:t>
            </w:r>
          </w:p>
        </w:tc>
        <w:tc>
          <w:p>
            <w:pPr>
              <w:pStyle w:val="Compact"/>
              <w:jc w:val="right"/>
            </w:pPr>
            <w:r>
              <w:t xml:space="preserve">547.824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DMARD, NSAID,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2663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1.002</w:t>
            </w:r>
          </w:p>
        </w:tc>
        <w:tc>
          <w:p>
            <w:pPr>
              <w:pStyle w:val="Compact"/>
              <w:jc w:val="right"/>
            </w:pPr>
            <w:r>
              <w:t xml:space="preserve">37.813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4033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  <w:tc>
          <w:p>
            <w:pPr>
              <w:pStyle w:val="Compact"/>
              <w:jc w:val="right"/>
            </w:pPr>
            <w:r>
              <w:t xml:space="preserve">1.112</w:t>
            </w:r>
          </w:p>
        </w:tc>
        <w:tc>
          <w:p>
            <w:pPr>
              <w:pStyle w:val="Compact"/>
              <w:jc w:val="right"/>
            </w:pPr>
            <w:r>
              <w:t xml:space="preserve">43.338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DMARD, NSAID,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9945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  <w:tc>
          <w:p>
            <w:pPr>
              <w:pStyle w:val="Compact"/>
              <w:jc w:val="right"/>
            </w:pPr>
            <w:r>
              <w:t xml:space="preserve">0.903</w:t>
            </w:r>
          </w:p>
        </w:tc>
        <w:tc>
          <w:p>
            <w:pPr>
              <w:pStyle w:val="Compact"/>
              <w:jc w:val="right"/>
            </w:pPr>
            <w:r>
              <w:t xml:space="preserve">1.024</w:t>
            </w:r>
          </w:p>
        </w:tc>
        <w:tc>
          <w:p>
            <w:pPr>
              <w:pStyle w:val="Compact"/>
              <w:jc w:val="right"/>
            </w:pPr>
            <w:r>
              <w:t xml:space="preserve">10.314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678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0.764</w:t>
            </w:r>
          </w:p>
        </w:tc>
        <w:tc>
          <w:p>
            <w:pPr>
              <w:pStyle w:val="Compact"/>
              <w:jc w:val="right"/>
            </w:pPr>
            <w:r>
              <w:t xml:space="preserve">1.309</w:t>
            </w:r>
          </w:p>
        </w:tc>
        <w:tc>
          <w:p>
            <w:pPr>
              <w:pStyle w:val="Compact"/>
              <w:jc w:val="right"/>
            </w:pPr>
            <w:r>
              <w:t xml:space="preserve">502.018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DMARD, NSAID,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14589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0.812</w:t>
            </w:r>
          </w:p>
        </w:tc>
        <w:tc>
          <w:p>
            <w:pPr>
              <w:pStyle w:val="Compact"/>
              <w:jc w:val="right"/>
            </w:pPr>
            <w:r>
              <w:t xml:space="preserve">1.002</w:t>
            </w:r>
          </w:p>
        </w:tc>
        <w:tc>
          <w:p>
            <w:pPr>
              <w:pStyle w:val="Compact"/>
              <w:jc w:val="right"/>
            </w:pPr>
            <w:r>
              <w:t xml:space="preserve">5.323</w:t>
            </w:r>
          </w:p>
        </w:tc>
      </w:tr>
    </w:tbl>
    <w:p>
      <w:pPr>
        <w:pStyle w:val="BodyText"/>
      </w:pPr>
      <w:r>
        <w:t xml:space="preserve">Summarize common support region bounds.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commonSupportLowerBound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commonSupportUpperBound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right"/>
            </w:pPr>
            <w:r>
              <w:t xml:space="preserve">0.0018254</w:t>
            </w:r>
          </w:p>
        </w:tc>
        <w:tc>
          <w:p>
            <w:pPr>
              <w:pStyle w:val="Compact"/>
              <w:jc w:val="right"/>
            </w:pPr>
            <w:r>
              <w:t xml:space="preserve">0.9735539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right"/>
            </w:pPr>
            <w:r>
              <w:t xml:space="preserve">0.0230746</w:t>
            </w:r>
          </w:p>
        </w:tc>
        <w:tc>
          <w:p>
            <w:pPr>
              <w:pStyle w:val="Compact"/>
              <w:jc w:val="right"/>
            </w:pPr>
            <w:r>
              <w:t xml:space="preserve">0.9030449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right"/>
            </w:pPr>
            <w:r>
              <w:t xml:space="preserve">0.0019920</w:t>
            </w:r>
          </w:p>
        </w:tc>
        <w:tc>
          <w:p>
            <w:pPr>
              <w:pStyle w:val="Compact"/>
              <w:jc w:val="right"/>
            </w:pPr>
            <w:r>
              <w:t xml:space="preserve">0.8121336</w:t>
            </w:r>
          </w:p>
        </w:tc>
      </w:tr>
    </w:tbl>
    <w:p>
      <w:pPr>
        <w:pStyle w:val="BodyText"/>
      </w:pPr>
      <w:r>
        <w:t xml:space="preserve">Create propensity score deciles cutpoints.</w:t>
      </w:r>
    </w:p>
    <w:p>
      <w:pPr>
        <w:pStyle w:val="Heading2"/>
      </w:pPr>
      <w:bookmarkStart w:id="28" w:name="covariate-balance"/>
      <w:r>
        <w:t xml:space="preserve">Covariate balance</w:t>
      </w:r>
      <w:bookmarkEnd w:id="28"/>
    </w:p>
    <w:p>
      <w:pPr>
        <w:pStyle w:val="FirstParagraph"/>
      </w:pPr>
      <w:r>
        <w:t xml:space="preserve">Include only episodes with propensity scores in the common support region.</w:t>
      </w:r>
    </w:p>
    <w:p>
      <w:pPr>
        <w:pStyle w:val="BodyText"/>
      </w:pPr>
      <w:r>
        <w:rPr>
          <w:b/>
        </w:rPr>
        <w:t xml:space="preserve">Propensity of TNF.</w:t>
      </w:r>
      <w:r>
        <w:t xml:space="preserve"> </w:t>
      </w:r>
      <w:r>
        <w:t xml:space="preserve">Create propensity score deciles.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exposure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psDecile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86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85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p>
            <w:pPr>
              <w:pStyle w:val="Compact"/>
              <w:jc w:val="right"/>
            </w:pPr>
            <w:r>
              <w:t xml:space="preserve">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86</w:t>
            </w:r>
          </w:p>
        </w:tc>
        <w:tc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p>
            <w:pPr>
              <w:pStyle w:val="Compact"/>
              <w:jc w:val="right"/>
            </w:pPr>
            <w:r>
              <w:t xml:space="preserve">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85</w:t>
            </w:r>
          </w:p>
        </w:tc>
        <w:tc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p>
            <w:pPr>
              <w:pStyle w:val="Compact"/>
              <w:jc w:val="right"/>
            </w:pPr>
            <w:r>
              <w:t xml:space="preserve">0.41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86</w:t>
            </w:r>
          </w:p>
        </w:tc>
        <w:tc>
          <w:p>
            <w:pPr>
              <w:pStyle w:val="Compact"/>
              <w:jc w:val="right"/>
            </w:pPr>
            <w:r>
              <w:t xml:space="preserve">0.41</w:t>
            </w:r>
          </w:p>
        </w:tc>
        <w:tc>
          <w:p>
            <w:pPr>
              <w:pStyle w:val="Compact"/>
              <w:jc w:val="right"/>
            </w:pPr>
            <w:r>
              <w:t xml:space="preserve">0.48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85</w:t>
            </w:r>
          </w:p>
        </w:tc>
        <w:tc>
          <w:p>
            <w:pPr>
              <w:pStyle w:val="Compact"/>
              <w:jc w:val="right"/>
            </w:pPr>
            <w:r>
              <w:t xml:space="preserve">0.48</w:t>
            </w:r>
          </w:p>
        </w:tc>
        <w:tc>
          <w:p>
            <w:pPr>
              <w:pStyle w:val="Compact"/>
              <w:jc w:val="right"/>
            </w:pPr>
            <w:r>
              <w:t xml:space="preserve">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85</w:t>
            </w:r>
          </w:p>
        </w:tc>
        <w:tc>
          <w:p>
            <w:pPr>
              <w:pStyle w:val="Compact"/>
              <w:jc w:val="right"/>
            </w:pPr>
            <w:r>
              <w:t xml:space="preserve">0.57</w:t>
            </w:r>
          </w:p>
        </w:tc>
        <w:tc>
          <w:p>
            <w:pPr>
              <w:pStyle w:val="Compact"/>
              <w:jc w:val="right"/>
            </w:pPr>
            <w:r>
              <w:t xml:space="preserve">0.66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86</w:t>
            </w:r>
          </w:p>
        </w:tc>
        <w:tc>
          <w:p>
            <w:pPr>
              <w:pStyle w:val="Compact"/>
              <w:jc w:val="right"/>
            </w:pPr>
            <w:r>
              <w:t xml:space="preserve">0.66</w:t>
            </w:r>
          </w:p>
        </w:tc>
        <w:tc>
          <w:p>
            <w:pPr>
              <w:pStyle w:val="Compact"/>
              <w:jc w:val="right"/>
            </w:pPr>
            <w:r>
              <w:t xml:space="preserve">0.73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85</w:t>
            </w:r>
          </w:p>
        </w:tc>
        <w:tc>
          <w:p>
            <w:pPr>
              <w:pStyle w:val="Compact"/>
              <w:jc w:val="right"/>
            </w:pPr>
            <w:r>
              <w:t xml:space="preserve">0.73</w:t>
            </w:r>
          </w:p>
        </w:tc>
        <w:tc>
          <w:p>
            <w:pPr>
              <w:pStyle w:val="Compact"/>
              <w:jc w:val="right"/>
            </w:pPr>
            <w:r>
              <w:t xml:space="preserve">0.82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86</w:t>
            </w:r>
          </w:p>
        </w:tc>
        <w:tc>
          <w:p>
            <w:pPr>
              <w:pStyle w:val="Compact"/>
              <w:jc w:val="right"/>
            </w:pPr>
            <w:r>
              <w:t xml:space="preserve">0.82</w:t>
            </w:r>
          </w:p>
        </w:tc>
        <w:tc>
          <w:p>
            <w:pPr>
              <w:pStyle w:val="Compact"/>
              <w:jc w:val="right"/>
            </w:pPr>
            <w:r>
              <w:t xml:space="preserve">0.97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DMARD, NSAID,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1595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DMARD, NSAID,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426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p>
            <w:pPr>
              <w:pStyle w:val="Compact"/>
              <w:jc w:val="right"/>
            </w:pPr>
            <w:r>
              <w:t xml:space="preserve">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DMARD, NSAID,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220</w:t>
            </w:r>
          </w:p>
        </w:tc>
        <w:tc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p>
            <w:pPr>
              <w:pStyle w:val="Compact"/>
              <w:jc w:val="right"/>
            </w:pPr>
            <w:r>
              <w:t xml:space="preserve">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DMARD, NSAID,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138</w:t>
            </w:r>
          </w:p>
        </w:tc>
        <w:tc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p>
            <w:pPr>
              <w:pStyle w:val="Compact"/>
              <w:jc w:val="right"/>
            </w:pPr>
            <w:r>
              <w:t xml:space="preserve">0.41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DMARD, NSAID,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89</w:t>
            </w:r>
          </w:p>
        </w:tc>
        <w:tc>
          <w:p>
            <w:pPr>
              <w:pStyle w:val="Compact"/>
              <w:jc w:val="right"/>
            </w:pPr>
            <w:r>
              <w:t xml:space="preserve">0.41</w:t>
            </w:r>
          </w:p>
        </w:tc>
        <w:tc>
          <w:p>
            <w:pPr>
              <w:pStyle w:val="Compact"/>
              <w:jc w:val="right"/>
            </w:pPr>
            <w:r>
              <w:t xml:space="preserve">0.48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DMARD, NSAID,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69</w:t>
            </w:r>
          </w:p>
        </w:tc>
        <w:tc>
          <w:p>
            <w:pPr>
              <w:pStyle w:val="Compact"/>
              <w:jc w:val="right"/>
            </w:pPr>
            <w:r>
              <w:t xml:space="preserve">0.49</w:t>
            </w:r>
          </w:p>
        </w:tc>
        <w:tc>
          <w:p>
            <w:pPr>
              <w:pStyle w:val="Compact"/>
              <w:jc w:val="right"/>
            </w:pPr>
            <w:r>
              <w:t xml:space="preserve">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DMARD, NSAID,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63</w:t>
            </w:r>
          </w:p>
        </w:tc>
        <w:tc>
          <w:p>
            <w:pPr>
              <w:pStyle w:val="Compact"/>
              <w:jc w:val="right"/>
            </w:pPr>
            <w:r>
              <w:t xml:space="preserve">0.58</w:t>
            </w:r>
          </w:p>
        </w:tc>
        <w:tc>
          <w:p>
            <w:pPr>
              <w:pStyle w:val="Compact"/>
              <w:jc w:val="right"/>
            </w:pPr>
            <w:r>
              <w:t xml:space="preserve">0.66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DMARD, NSAID,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21</w:t>
            </w:r>
          </w:p>
        </w:tc>
        <w:tc>
          <w:p>
            <w:pPr>
              <w:pStyle w:val="Compact"/>
              <w:jc w:val="right"/>
            </w:pPr>
            <w:r>
              <w:t xml:space="preserve">0.67</w:t>
            </w:r>
          </w:p>
        </w:tc>
        <w:tc>
          <w:p>
            <w:pPr>
              <w:pStyle w:val="Compact"/>
              <w:jc w:val="right"/>
            </w:pPr>
            <w:r>
              <w:t xml:space="preserve">0.73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DMARD, NSAID,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  <w:tc>
          <w:p>
            <w:pPr>
              <w:pStyle w:val="Compact"/>
              <w:jc w:val="right"/>
            </w:pPr>
            <w:r>
              <w:t xml:space="preserve">0.74</w:t>
            </w:r>
          </w:p>
        </w:tc>
        <w:tc>
          <w:p>
            <w:pPr>
              <w:pStyle w:val="Compact"/>
              <w:jc w:val="right"/>
            </w:pPr>
            <w:r>
              <w:t xml:space="preserve">0.82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DMARD, NSAID,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p>
            <w:pPr>
              <w:pStyle w:val="Compact"/>
              <w:jc w:val="right"/>
            </w:pPr>
            <w:r>
              <w:t xml:space="preserve">0.82</w:t>
            </w:r>
          </w:p>
        </w:tc>
        <w:tc>
          <w:p>
            <w:pPr>
              <w:pStyle w:val="Compact"/>
              <w:jc w:val="right"/>
            </w:pPr>
            <w:r>
              <w:t xml:space="preserve">0.97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404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403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p>
            <w:pPr>
              <w:pStyle w:val="Compact"/>
              <w:jc w:val="right"/>
            </w:pPr>
            <w:r>
              <w:t xml:space="preserve">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403</w:t>
            </w:r>
          </w:p>
        </w:tc>
        <w:tc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403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p>
            <w:pPr>
              <w:pStyle w:val="Compact"/>
              <w:jc w:val="right"/>
            </w:pPr>
            <w:r>
              <w:t xml:space="preserve">0.34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404</w:t>
            </w:r>
          </w:p>
        </w:tc>
        <w:tc>
          <w:p>
            <w:pPr>
              <w:pStyle w:val="Compact"/>
              <w:jc w:val="right"/>
            </w:pPr>
            <w:r>
              <w:t xml:space="preserve">0.34</w:t>
            </w:r>
          </w:p>
        </w:tc>
        <w:tc>
          <w:p>
            <w:pPr>
              <w:pStyle w:val="Compact"/>
              <w:jc w:val="right"/>
            </w:pPr>
            <w:r>
              <w:t xml:space="preserve">0.40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403</w:t>
            </w:r>
          </w:p>
        </w:tc>
        <w:tc>
          <w:p>
            <w:pPr>
              <w:pStyle w:val="Compact"/>
              <w:jc w:val="right"/>
            </w:pPr>
            <w:r>
              <w:t xml:space="preserve">0.40</w:t>
            </w:r>
          </w:p>
        </w:tc>
        <w:tc>
          <w:p>
            <w:pPr>
              <w:pStyle w:val="Compact"/>
              <w:jc w:val="right"/>
            </w:pPr>
            <w:r>
              <w:t xml:space="preserve">0.47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403</w:t>
            </w:r>
          </w:p>
        </w:tc>
        <w:tc>
          <w:p>
            <w:pPr>
              <w:pStyle w:val="Compact"/>
              <w:jc w:val="right"/>
            </w:pPr>
            <w:r>
              <w:t xml:space="preserve">0.47</w:t>
            </w:r>
          </w:p>
        </w:tc>
        <w:tc>
          <w:p>
            <w:pPr>
              <w:pStyle w:val="Compact"/>
              <w:jc w:val="right"/>
            </w:pPr>
            <w:r>
              <w:t xml:space="preserve">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403</w:t>
            </w:r>
          </w:p>
        </w:tc>
        <w:tc>
          <w:p>
            <w:pPr>
              <w:pStyle w:val="Compact"/>
              <w:jc w:val="right"/>
            </w:pPr>
            <w:r>
              <w:t xml:space="preserve">0.54</w:t>
            </w:r>
          </w:p>
        </w:tc>
        <w:tc>
          <w:p>
            <w:pPr>
              <w:pStyle w:val="Compact"/>
              <w:jc w:val="right"/>
            </w:pPr>
            <w:r>
              <w:t xml:space="preserve">0.62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403</w:t>
            </w:r>
          </w:p>
        </w:tc>
        <w:tc>
          <w:p>
            <w:pPr>
              <w:pStyle w:val="Compact"/>
              <w:jc w:val="right"/>
            </w:pPr>
            <w:r>
              <w:t xml:space="preserve">0.62</w:t>
            </w:r>
          </w:p>
        </w:tc>
        <w:tc>
          <w:p>
            <w:pPr>
              <w:pStyle w:val="Compact"/>
              <w:jc w:val="right"/>
            </w:pPr>
            <w:r>
              <w:t xml:space="preserve">0.70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404</w:t>
            </w:r>
          </w:p>
        </w:tc>
        <w:tc>
          <w:p>
            <w:pPr>
              <w:pStyle w:val="Compact"/>
              <w:jc w:val="right"/>
            </w:pPr>
            <w:r>
              <w:t xml:space="preserve">0.70</w:t>
            </w:r>
          </w:p>
        </w:tc>
        <w:tc>
          <w:p>
            <w:pPr>
              <w:pStyle w:val="Compact"/>
              <w:jc w:val="right"/>
            </w:pPr>
            <w:r>
              <w:t xml:space="preserve">0.90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DMARD, NSAID,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3976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DMARD, NSAID,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1657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p>
            <w:pPr>
              <w:pStyle w:val="Compact"/>
              <w:jc w:val="right"/>
            </w:pPr>
            <w:r>
              <w:t xml:space="preserve">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DMARD, NSAID,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1207</w:t>
            </w:r>
          </w:p>
        </w:tc>
        <w:tc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DMARD, NSAID,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876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p>
            <w:pPr>
              <w:pStyle w:val="Compact"/>
              <w:jc w:val="right"/>
            </w:pPr>
            <w:r>
              <w:t xml:space="preserve">0.34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DMARD, NSAID,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711</w:t>
            </w:r>
          </w:p>
        </w:tc>
        <w:tc>
          <w:p>
            <w:pPr>
              <w:pStyle w:val="Compact"/>
              <w:jc w:val="right"/>
            </w:pPr>
            <w:r>
              <w:t xml:space="preserve">0.34</w:t>
            </w:r>
          </w:p>
        </w:tc>
        <w:tc>
          <w:p>
            <w:pPr>
              <w:pStyle w:val="Compact"/>
              <w:jc w:val="right"/>
            </w:pPr>
            <w:r>
              <w:t xml:space="preserve">0.40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DMARD, NSAID,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580</w:t>
            </w:r>
          </w:p>
        </w:tc>
        <w:tc>
          <w:p>
            <w:pPr>
              <w:pStyle w:val="Compact"/>
              <w:jc w:val="right"/>
            </w:pPr>
            <w:r>
              <w:t xml:space="preserve">0.40</w:t>
            </w:r>
          </w:p>
        </w:tc>
        <w:tc>
          <w:p>
            <w:pPr>
              <w:pStyle w:val="Compact"/>
              <w:jc w:val="right"/>
            </w:pPr>
            <w:r>
              <w:t xml:space="preserve">0.47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DMARD, NSAID,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331</w:t>
            </w:r>
          </w:p>
        </w:tc>
        <w:tc>
          <w:p>
            <w:pPr>
              <w:pStyle w:val="Compact"/>
              <w:jc w:val="right"/>
            </w:pPr>
            <w:r>
              <w:t xml:space="preserve">0.47</w:t>
            </w:r>
          </w:p>
        </w:tc>
        <w:tc>
          <w:p>
            <w:pPr>
              <w:pStyle w:val="Compact"/>
              <w:jc w:val="right"/>
            </w:pPr>
            <w:r>
              <w:t xml:space="preserve">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DMARD, NSAID,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277</w:t>
            </w:r>
          </w:p>
        </w:tc>
        <w:tc>
          <w:p>
            <w:pPr>
              <w:pStyle w:val="Compact"/>
              <w:jc w:val="right"/>
            </w:pPr>
            <w:r>
              <w:t xml:space="preserve">0.54</w:t>
            </w:r>
          </w:p>
        </w:tc>
        <w:tc>
          <w:p>
            <w:pPr>
              <w:pStyle w:val="Compact"/>
              <w:jc w:val="right"/>
            </w:pPr>
            <w:r>
              <w:t xml:space="preserve">0.62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DMARD, NSAID,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170</w:t>
            </w:r>
          </w:p>
        </w:tc>
        <w:tc>
          <w:p>
            <w:pPr>
              <w:pStyle w:val="Compact"/>
              <w:jc w:val="right"/>
            </w:pPr>
            <w:r>
              <w:t xml:space="preserve">0.62</w:t>
            </w:r>
          </w:p>
        </w:tc>
        <w:tc>
          <w:p>
            <w:pPr>
              <w:pStyle w:val="Compact"/>
              <w:jc w:val="right"/>
            </w:pPr>
            <w:r>
              <w:t xml:space="preserve">0.70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DMARD, NSAID,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160</w:t>
            </w:r>
          </w:p>
        </w:tc>
        <w:tc>
          <w:p>
            <w:pPr>
              <w:pStyle w:val="Compact"/>
              <w:jc w:val="right"/>
            </w:pPr>
            <w:r>
              <w:t xml:space="preserve">0.70</w:t>
            </w:r>
          </w:p>
        </w:tc>
        <w:tc>
          <w:p>
            <w:pPr>
              <w:pStyle w:val="Compact"/>
              <w:jc w:val="right"/>
            </w:pPr>
            <w:r>
              <w:t xml:space="preserve">0.90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68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68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68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67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68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68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0.10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67</w:t>
            </w:r>
          </w:p>
        </w:tc>
        <w:tc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68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p>
            <w:pPr>
              <w:pStyle w:val="Compact"/>
              <w:jc w:val="right"/>
            </w:pPr>
            <w:r>
              <w:t xml:space="preserve">0.20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68</w:t>
            </w:r>
          </w:p>
        </w:tc>
        <w:tc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68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p>
            <w:pPr>
              <w:pStyle w:val="Compact"/>
              <w:jc w:val="right"/>
            </w:pPr>
            <w:r>
              <w:t xml:space="preserve">0.76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DMARD, NSAID,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6846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DMARD, NSAID,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2594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DMARD, NSAID,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1512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DMARD, NSAID,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1201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DMARD, NSAID,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752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DMARD, NSAID,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571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0.10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DMARD, NSAID,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423</w:t>
            </w:r>
          </w:p>
        </w:tc>
        <w:tc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DMARD, NSAID,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300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p>
            <w:pPr>
              <w:pStyle w:val="Compact"/>
              <w:jc w:val="right"/>
            </w:pPr>
            <w:r>
              <w:t xml:space="preserve">0.20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DMARD, NSAID,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229</w:t>
            </w:r>
          </w:p>
        </w:tc>
        <w:tc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DMARD, NSAID,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161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p>
            <w:pPr>
              <w:pStyle w:val="Compact"/>
              <w:jc w:val="right"/>
            </w:pPr>
            <w:r>
              <w:t xml:space="preserve">0.81</w:t>
            </w:r>
          </w:p>
        </w:tc>
      </w:tr>
    </w:tbl>
    <w:p>
      <w:pPr>
        <w:pStyle w:val="Heading3"/>
      </w:pPr>
      <w:bookmarkStart w:id="29" w:name="demographic-characteristics"/>
      <w:r>
        <w:t xml:space="preserve">Demographic characteristics</w:t>
      </w:r>
      <w:bookmarkEnd w:id="29"/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Gender.png" title="" id="1" name="Picture"/>
            <a:graphic>
              <a:graphicData uri="http://schemas.openxmlformats.org/drawingml/2006/picture">
                <pic:pic>
                  <pic:nvPicPr>
                    <pic:cNvPr descr="../figures/covarBalGend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covarBalGender.png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Age.png" title="" id="1" name="Picture"/>
            <a:graphic>
              <a:graphicData uri="http://schemas.openxmlformats.org/drawingml/2006/picture">
                <pic:pic>
                  <pic:nvPicPr>
                    <pic:cNvPr descr="../figures/covarBal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covarBalAge.png</w:t>
      </w:r>
    </w:p>
    <w:p>
      <w:pPr>
        <w:pStyle w:val="Heading3"/>
      </w:pPr>
      <w:bookmarkStart w:id="32" w:name="other-covariates"/>
      <w:r>
        <w:t xml:space="preserve">Other covariates</w:t>
      </w:r>
      <w:bookmarkEnd w:id="32"/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Diabetes.png" title="" id="1" name="Picture"/>
            <a:graphic>
              <a:graphicData uri="http://schemas.openxmlformats.org/drawingml/2006/picture">
                <pic:pic>
                  <pic:nvPicPr>
                    <pic:cNvPr descr="../figures/covarBalDiabet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covarBalDiabetes.png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HT.png" title="" id="1" name="Picture"/>
            <a:graphic>
              <a:graphicData uri="http://schemas.openxmlformats.org/drawingml/2006/picture">
                <pic:pic>
                  <pic:nvPicPr>
                    <pic:cNvPr descr="../figures/covarBalH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covarBalHT.png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MetabSyn.png" title="" id="1" name="Picture"/>
            <a:graphic>
              <a:graphicData uri="http://schemas.openxmlformats.org/drawingml/2006/picture">
                <pic:pic>
                  <pic:nvPicPr>
                    <pic:cNvPr descr="../figures/covarBalMetabSy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covarBalMetabSyn.png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NAFattyLiverDis.png" title="" id="1" name="Picture"/>
            <a:graphic>
              <a:graphicData uri="http://schemas.openxmlformats.org/drawingml/2006/picture">
                <pic:pic>
                  <pic:nvPicPr>
                    <pic:cNvPr descr="../figures/covarBalNAFattyLiverDi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covarBalNAFattyLiverDis.png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COPDEmphysema.png" title="" id="1" name="Picture"/>
            <a:graphic>
              <a:graphicData uri="http://schemas.openxmlformats.org/drawingml/2006/picture">
                <pic:pic>
                  <pic:nvPicPr>
                    <pic:cNvPr descr="../figures/covarBalCOPDEmphysem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covarBalCOPDEmphysema.png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OralCorticosteroid.png" title="" id="1" name="Picture"/>
            <a:graphic>
              <a:graphicData uri="http://schemas.openxmlformats.org/drawingml/2006/picture">
                <pic:pic>
                  <pic:nvPicPr>
                    <pic:cNvPr descr="../figures/covarBalOralCorticosteroi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covarBalOralCorticosteroid.png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CharlsonDichot.png" title="" id="1" name="Picture"/>
            <a:graphic>
              <a:graphicData uri="http://schemas.openxmlformats.org/drawingml/2006/picture">
                <pic:pic>
                  <pic:nvPicPr>
                    <pic:cNvPr descr="../figures/covarBalCharlsonDich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covarBalCharlsonDichot.png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CharlsonCont.png" title="" id="1" name="Picture"/>
            <a:graphic>
              <a:graphicData uri="http://schemas.openxmlformats.org/drawingml/2006/picture">
                <pic:pic>
                  <pic:nvPicPr>
                    <pic:cNvPr descr="../figures/covarBalCharlsonCon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covarBalCharlsonCont.png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InflamMarker.png" title="" id="1" name="Picture"/>
            <a:graphic>
              <a:graphicData uri="http://schemas.openxmlformats.org/drawingml/2006/picture">
                <pic:pic>
                  <pic:nvPicPr>
                    <pic:cNvPr descr="../figures/covarBalInflamMark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covarBalInflamMarker.png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RxNSAID.png" title="" id="1" name="Picture"/>
            <a:graphic>
              <a:graphicData uri="http://schemas.openxmlformats.org/drawingml/2006/picture">
                <pic:pic>
                  <pic:nvPicPr>
                    <pic:cNvPr descr="../figures/covarBalRxNSAI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covarBalRxNSAID.png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RxHtn.png" title="" id="1" name="Picture"/>
            <a:graphic>
              <a:graphicData uri="http://schemas.openxmlformats.org/drawingml/2006/picture">
                <pic:pic>
                  <pic:nvPicPr>
                    <pic:cNvPr descr="../figures/covarBalRxHt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covarBalRxHtn.png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RxNarcotics.png" title="" id="1" name="Picture"/>
            <a:graphic>
              <a:graphicData uri="http://schemas.openxmlformats.org/drawingml/2006/picture">
                <pic:pic>
                  <pic:nvPicPr>
                    <pic:cNvPr descr="../figures/covarBalRxNarcotic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covarBalRxNarcotics.png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RxFungus.png" title="" id="1" name="Picture"/>
            <a:graphic>
              <a:graphicData uri="http://schemas.openxmlformats.org/drawingml/2006/picture">
                <pic:pic>
                  <pic:nvPicPr>
                    <pic:cNvPr descr="../figures/covarBalRxFungu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covarBalRxFungus.png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RxOP_bisphosp.png" title="" id="1" name="Picture"/>
            <a:graphic>
              <a:graphicData uri="http://schemas.openxmlformats.org/drawingml/2006/picture">
                <pic:pic>
                  <pic:nvPicPr>
                    <pic:cNvPr descr="../figures/covarBalRxOP_bisphos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covarBalRxOP_bisphosp.png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RxThiazide.png" title="" id="1" name="Picture"/>
            <a:graphic>
              <a:graphicData uri="http://schemas.openxmlformats.org/drawingml/2006/picture">
                <pic:pic>
                  <pic:nvPicPr>
                    <pic:cNvPr descr="../figures/covarBalRxThiazid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covarBalRxThiazide.png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RxAnticoagulant.png" title="" id="1" name="Picture"/>
            <a:graphic>
              <a:graphicData uri="http://schemas.openxmlformats.org/drawingml/2006/picture">
                <pic:pic>
                  <pic:nvPicPr>
                    <pic:cNvPr descr="../figures/covarBalRxAnticoagulan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covarBalRxAnticoagulant.png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RxAntibiotics.png" title="" id="1" name="Picture"/>
            <a:graphic>
              <a:graphicData uri="http://schemas.openxmlformats.org/drawingml/2006/picture">
                <pic:pic>
                  <pic:nvPicPr>
                    <pic:cNvPr descr="../figures/covarBalRxAntibiotic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covarBalRxAntibiotics.png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IPAdmit12mPrior.png" title="" id="1" name="Picture"/>
            <a:graphic>
              <a:graphicData uri="http://schemas.openxmlformats.org/drawingml/2006/picture">
                <pic:pic>
                  <pic:nvPicPr>
                    <pic:cNvPr descr="../figures/covarBalIPAdmit12mPrio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covarBalIPAdmit12mPrior.png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ERVisit12mPrior.png" title="" id="1" name="Picture"/>
            <a:graphic>
              <a:graphicData uri="http://schemas.openxmlformats.org/drawingml/2006/picture">
                <pic:pic>
                  <pic:nvPicPr>
                    <pic:cNvPr descr="../figures/covarBalERVisit12mPrio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covarBalERVisit12mPrior.png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AVRheum12mPrior.png" title="" id="1" name="Picture"/>
            <a:graphic>
              <a:graphicData uri="http://schemas.openxmlformats.org/drawingml/2006/picture">
                <pic:pic>
                  <pic:nvPicPr>
                    <pic:cNvPr descr="../figures/covarBalAVRheum12mPrio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covarBalAVRheum12mPrior.png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RxBiologics.png" title="" id="1" name="Picture"/>
            <a:graphic>
              <a:graphicData uri="http://schemas.openxmlformats.org/drawingml/2006/picture">
                <pic:pic>
                  <pic:nvPicPr>
                    <pic:cNvPr descr="../figures/covarBalRxBiologic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covarBalRxBiologics.png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OutpatientInfection.png" title="" id="1" name="Picture"/>
            <a:graphic>
              <a:graphicData uri="http://schemas.openxmlformats.org/drawingml/2006/picture">
                <pic:pic>
                  <pic:nvPicPr>
                    <pic:cNvPr descr="../figures/covarBalOutpatientInfec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covarBalOutpatientInfection.png</w:t>
      </w:r>
    </w:p>
    <w:p>
      <w:pPr>
        <w:pStyle w:val="Heading3"/>
      </w:pPr>
      <w:bookmarkStart w:id="55" w:name="comorbidities"/>
      <w:r>
        <w:t xml:space="preserve">Comorbidities</w:t>
      </w:r>
      <w:bookmarkEnd w:id="55"/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HematCa.png" title="" id="1" name="Picture"/>
            <a:graphic>
              <a:graphicData uri="http://schemas.openxmlformats.org/drawingml/2006/picture">
                <pic:pic>
                  <pic:nvPicPr>
                    <pic:cNvPr descr="../figures/covarBalHematC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covarBalHematCa.png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NMSC.png" title="" id="1" name="Picture"/>
            <a:graphic>
              <a:graphicData uri="http://schemas.openxmlformats.org/drawingml/2006/picture">
                <pic:pic>
                  <pic:nvPicPr>
                    <pic:cNvPr descr="../figures/covarBalNMS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covarBalNMSC.png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SolidCa.png" title="" id="1" name="Picture"/>
            <a:graphic>
              <a:graphicData uri="http://schemas.openxmlformats.org/drawingml/2006/picture">
                <pic:pic>
                  <pic:nvPicPr>
                    <pic:cNvPr descr="../figures/covarBalSolidC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covarBalSolidCa.png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AortInsuffRegurg.png" title="" id="1" name="Picture"/>
            <a:graphic>
              <a:graphicData uri="http://schemas.openxmlformats.org/drawingml/2006/picture">
                <pic:pic>
                  <pic:nvPicPr>
                    <pic:cNvPr descr="../figures/covarBalAortInsuffRegur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covarBalAortInsuffRegurg.png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ConductBlock.png" title="" id="1" name="Picture"/>
            <a:graphic>
              <a:graphicData uri="http://schemas.openxmlformats.org/drawingml/2006/picture">
                <pic:pic>
                  <pic:nvPicPr>
                    <pic:cNvPr descr="../figures/covarBalConductBloc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covarBalConductBlock.png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MI.png" title="" id="1" name="Picture"/>
            <a:graphic>
              <a:graphicData uri="http://schemas.openxmlformats.org/drawingml/2006/picture">
                <pic:pic>
                  <pic:nvPicPr>
                    <pic:cNvPr descr="../figures/covarBalMI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covarBalMI.png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HospInf.png" title="" id="1" name="Picture"/>
            <a:graphic>
              <a:graphicData uri="http://schemas.openxmlformats.org/drawingml/2006/picture">
                <pic:pic>
                  <pic:nvPicPr>
                    <pic:cNvPr descr="../figures/covarBalHospIn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covarBalHospInf.png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OppInf.png" title="" id="1" name="Picture"/>
            <a:graphic>
              <a:graphicData uri="http://schemas.openxmlformats.org/drawingml/2006/picture">
                <pic:pic>
                  <pic:nvPicPr>
                    <pic:cNvPr descr="../figures/covarBalOppIn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covarBalOppInf.png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Amyloidosis.png" title="" id="1" name="Picture"/>
            <a:graphic>
              <a:graphicData uri="http://schemas.openxmlformats.org/drawingml/2006/picture">
                <pic:pic>
                  <pic:nvPicPr>
                    <pic:cNvPr descr="../figures/covarBalAmyloidosi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covarBalAmyloidosis.png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IgANeph.png" title="" id="1" name="Picture"/>
            <a:graphic>
              <a:graphicData uri="http://schemas.openxmlformats.org/drawingml/2006/picture">
                <pic:pic>
                  <pic:nvPicPr>
                    <pic:cNvPr descr="../figures/covarBalIgANep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covarBalIgANeph.png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NephSyn.png" title="" id="1" name="Picture"/>
            <a:graphic>
              <a:graphicData uri="http://schemas.openxmlformats.org/drawingml/2006/picture">
                <pic:pic>
                  <pic:nvPicPr>
                    <pic:cNvPr descr="../figures/covarBalNephSy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covarBalNephSyn.png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ApicalPulmFib.png" title="" id="1" name="Picture"/>
            <a:graphic>
              <a:graphicData uri="http://schemas.openxmlformats.org/drawingml/2006/picture">
                <pic:pic>
                  <pic:nvPicPr>
                    <pic:cNvPr descr="../figures/covarBalApicalPulmFi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covarBalApicalPulmFib.png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InterstLungDis.png" title="" id="1" name="Picture"/>
            <a:graphic>
              <a:graphicData uri="http://schemas.openxmlformats.org/drawingml/2006/picture">
                <pic:pic>
                  <pic:nvPicPr>
                    <pic:cNvPr descr="../figures/covarBalInterstLungDi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covarBalInterstLungDis.png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RestrictLungDis.png" title="" id="1" name="Picture"/>
            <a:graphic>
              <a:graphicData uri="http://schemas.openxmlformats.org/drawingml/2006/picture">
                <pic:pic>
                  <pic:nvPicPr>
                    <pic:cNvPr descr="../figures/covarBalRestrictLungDi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covarBalRestrictLungDis.png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CaudaEquina.png" title="" id="1" name="Picture"/>
            <a:graphic>
              <a:graphicData uri="http://schemas.openxmlformats.org/drawingml/2006/picture">
                <pic:pic>
                  <pic:nvPicPr>
                    <pic:cNvPr descr="../figures/covarBalCaudaEquin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covarBalCaudaEquina.png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SpinalCordComp.png" title="" id="1" name="Picture"/>
            <a:graphic>
              <a:graphicData uri="http://schemas.openxmlformats.org/drawingml/2006/picture">
                <pic:pic>
                  <pic:nvPicPr>
                    <pic:cNvPr descr="../figures/covarBalSpinalCordCom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covarBalSpinalCordComp.png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VertFrac.png" title="" id="1" name="Picture"/>
            <a:graphic>
              <a:graphicData uri="http://schemas.openxmlformats.org/drawingml/2006/picture">
                <pic:pic>
                  <pic:nvPicPr>
                    <pic:cNvPr descr="../figures/covarBalVertFra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covarBalVertFrac.png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NonVertOsFrac.png" title="" id="1" name="Picture"/>
            <a:graphic>
              <a:graphicData uri="http://schemas.openxmlformats.org/drawingml/2006/picture">
                <pic:pic>
                  <pic:nvPicPr>
                    <pic:cNvPr descr="../figures/covarBalNonVertOsFra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covarBalNonVertOsFrac.png</w:t>
      </w:r>
    </w:p>
    <w:p>
      <w:pPr>
        <w:pStyle w:val="Heading3"/>
      </w:pPr>
      <w:bookmarkStart w:id="74" w:name="extra-articular-manifestations-eams"/>
      <w:r>
        <w:t xml:space="preserve">Extra-articular manifestations (EAMs)</w:t>
      </w:r>
      <w:bookmarkEnd w:id="74"/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CrohnsDis.png" title="" id="1" name="Picture"/>
            <a:graphic>
              <a:graphicData uri="http://schemas.openxmlformats.org/drawingml/2006/picture">
                <pic:pic>
                  <pic:nvPicPr>
                    <pic:cNvPr descr="../figures/covarBalCrohnsDi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covarBalCrohnsDis.png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UlcerColitis.png" title="" id="1" name="Picture"/>
            <a:graphic>
              <a:graphicData uri="http://schemas.openxmlformats.org/drawingml/2006/picture">
                <pic:pic>
                  <pic:nvPicPr>
                    <pic:cNvPr descr="../figures/covarBalUlcerColiti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covarBalUlcerColitis.png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Psoriasis.png" title="" id="1" name="Picture"/>
            <a:graphic>
              <a:graphicData uri="http://schemas.openxmlformats.org/drawingml/2006/picture">
                <pic:pic>
                  <pic:nvPicPr>
                    <pic:cNvPr descr="../figures/covarBalPsoriasi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covarBalPsoriasis.png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PSA.png" title="" id="1" name="Picture"/>
            <a:graphic>
              <a:graphicData uri="http://schemas.openxmlformats.org/drawingml/2006/picture">
                <pic:pic>
                  <pic:nvPicPr>
                    <pic:cNvPr descr="../figures/covarBalPS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covarBalPSA.png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covarBalUveitis.png" title="" id="1" name="Picture"/>
            <a:graphic>
              <a:graphicData uri="http://schemas.openxmlformats.org/drawingml/2006/picture">
                <pic:pic>
                  <pic:nvPicPr>
                    <pic:cNvPr descr="../figures/covarBalUveiti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covarBalUveitis.png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2" Target="media/rId52.png" /><Relationship Type="http://schemas.openxmlformats.org/officeDocument/2006/relationships/image" Id="rId31" Target="media/rId31.png" /><Relationship Type="http://schemas.openxmlformats.org/officeDocument/2006/relationships/image" Id="rId64" Target="media/rId64.png" /><Relationship Type="http://schemas.openxmlformats.org/officeDocument/2006/relationships/image" Id="rId59" Target="media/rId59.png" /><Relationship Type="http://schemas.openxmlformats.org/officeDocument/2006/relationships/image" Id="rId67" Target="media/rId67.png" /><Relationship Type="http://schemas.openxmlformats.org/officeDocument/2006/relationships/image" Id="rId37" Target="media/rId37.png" /><Relationship Type="http://schemas.openxmlformats.org/officeDocument/2006/relationships/image" Id="rId70" Target="media/rId70.png" /><Relationship Type="http://schemas.openxmlformats.org/officeDocument/2006/relationships/image" Id="rId40" Target="media/rId40.png" /><Relationship Type="http://schemas.openxmlformats.org/officeDocument/2006/relationships/image" Id="rId39" Target="media/rId39.png" /><Relationship Type="http://schemas.openxmlformats.org/officeDocument/2006/relationships/image" Id="rId60" Target="media/rId60.png" /><Relationship Type="http://schemas.openxmlformats.org/officeDocument/2006/relationships/image" Id="rId75" Target="media/rId75.png" /><Relationship Type="http://schemas.openxmlformats.org/officeDocument/2006/relationships/image" Id="rId33" Target="media/rId33.png" /><Relationship Type="http://schemas.openxmlformats.org/officeDocument/2006/relationships/image" Id="rId51" Target="media/rId51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56" Target="media/rId56.png" /><Relationship Type="http://schemas.openxmlformats.org/officeDocument/2006/relationships/image" Id="rId62" Target="media/rId62.png" /><Relationship Type="http://schemas.openxmlformats.org/officeDocument/2006/relationships/image" Id="rId50" Target="media/rId50.png" /><Relationship Type="http://schemas.openxmlformats.org/officeDocument/2006/relationships/image" Id="rId65" Target="media/rId65.png" /><Relationship Type="http://schemas.openxmlformats.org/officeDocument/2006/relationships/image" Id="rId41" Target="media/rId41.png" /><Relationship Type="http://schemas.openxmlformats.org/officeDocument/2006/relationships/image" Id="rId68" Target="media/rId68.png" /><Relationship Type="http://schemas.openxmlformats.org/officeDocument/2006/relationships/image" Id="rId61" Target="media/rId61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57" Target="media/rId57.png" /><Relationship Type="http://schemas.openxmlformats.org/officeDocument/2006/relationships/image" Id="rId66" Target="media/rId66.png" /><Relationship Type="http://schemas.openxmlformats.org/officeDocument/2006/relationships/image" Id="rId73" Target="media/rId73.png" /><Relationship Type="http://schemas.openxmlformats.org/officeDocument/2006/relationships/image" Id="rId63" Target="media/rId63.png" /><Relationship Type="http://schemas.openxmlformats.org/officeDocument/2006/relationships/image" Id="rId38" Target="media/rId38.png" /><Relationship Type="http://schemas.openxmlformats.org/officeDocument/2006/relationships/image" Id="rId54" Target="media/rId54.png" /><Relationship Type="http://schemas.openxmlformats.org/officeDocument/2006/relationships/image" Id="rId78" Target="media/rId78.png" /><Relationship Type="http://schemas.openxmlformats.org/officeDocument/2006/relationships/image" Id="rId77" Target="media/rId77.png" /><Relationship Type="http://schemas.openxmlformats.org/officeDocument/2006/relationships/image" Id="rId69" Target="media/rId69.png" /><Relationship Type="http://schemas.openxmlformats.org/officeDocument/2006/relationships/image" Id="rId49" Target="media/rId49.png" /><Relationship Type="http://schemas.openxmlformats.org/officeDocument/2006/relationships/image" Id="rId48" Target="media/rId48.png" /><Relationship Type="http://schemas.openxmlformats.org/officeDocument/2006/relationships/image" Id="rId53" Target="media/rId53.png" /><Relationship Type="http://schemas.openxmlformats.org/officeDocument/2006/relationships/image" Id="rId45" Target="media/rId45.png" /><Relationship Type="http://schemas.openxmlformats.org/officeDocument/2006/relationships/image" Id="rId43" Target="media/rId43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58" Target="media/rId58.png" /><Relationship Type="http://schemas.openxmlformats.org/officeDocument/2006/relationships/image" Id="rId71" Target="media/rId71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72" Target="media/rId72.png" /><Relationship Type="http://schemas.openxmlformats.org/officeDocument/2006/relationships/image" Id="rId27" Target="media/rId27.png" /><Relationship Type="http://schemas.openxmlformats.org/officeDocument/2006/relationships/hyperlink" Id="rId25" Target="../figures/densityPS.png" TargetMode="External" /><Relationship Type="http://schemas.openxmlformats.org/officeDocument/2006/relationships/hyperlink" Id="rId26" Target="../figures/densityPS.svg" TargetMode="External" /><Relationship Type="http://schemas.openxmlformats.org/officeDocument/2006/relationships/hyperlink" Id="rId22" Target="../scripts/modelPropensityScore.sas" TargetMode="External" /><Relationship Type="http://schemas.openxmlformats.org/officeDocument/2006/relationships/hyperlink" Id="rId23" Target="http://onlinelibrary.wiley.com/doi/10.1002/sim.6607/abstract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5" Target="../figures/densityPS.png" TargetMode="External" /><Relationship Type="http://schemas.openxmlformats.org/officeDocument/2006/relationships/hyperlink" Id="rId26" Target="../figures/densityPS.svg" TargetMode="External" /><Relationship Type="http://schemas.openxmlformats.org/officeDocument/2006/relationships/hyperlink" Id="rId22" Target="../scripts/modelPropensityScore.sas" TargetMode="External" /><Relationship Type="http://schemas.openxmlformats.org/officeDocument/2006/relationships/hyperlink" Id="rId23" Target="http://onlinelibrary.wiley.com/doi/10.1002/sim.6607/abstrac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2018-11-26T21:55:18Z</dcterms:created>
  <dcterms:modified xsi:type="dcterms:W3CDTF">2018-11-26T21:55:18Z</dcterms:modified>
</cp:coreProperties>
</file>