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pPr w:leftFromText="180" w:rightFromText="180" w:vertAnchor="text" w:horzAnchor="margin" w:tblpY="243"/>
        <w:tblW w:w="0" w:type="auto"/>
        <w:tblLayout w:type="fixed"/>
        <w:tblLook w:val="04A0" w:firstRow="1" w:lastRow="0" w:firstColumn="1" w:lastColumn="0" w:noHBand="0" w:noVBand="1"/>
      </w:tblPr>
      <w:tblGrid>
        <w:gridCol w:w="1818"/>
        <w:gridCol w:w="12780"/>
      </w:tblGrid>
      <w:tr w:rsidR="00E63960" w:rsidRPr="00CE1A27" w14:paraId="2382BA76" w14:textId="77777777" w:rsidTr="00E63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bottom"/>
          </w:tcPr>
          <w:p w14:paraId="0E12F369" w14:textId="6F20F2FF" w:rsidR="00E63960" w:rsidRPr="00A27330" w:rsidRDefault="007438DC" w:rsidP="008B1C7A">
            <w:pPr>
              <w:spacing w:after="0" w:line="240" w:lineRule="auto"/>
              <w:jc w:val="center"/>
              <w:rPr>
                <w:rFonts w:ascii="Arial" w:hAnsi="Arial" w:cs="Arial"/>
                <w:sz w:val="18"/>
                <w:szCs w:val="18"/>
              </w:rPr>
            </w:pPr>
            <w:r>
              <w:rPr>
                <w:rFonts w:ascii="Arial" w:hAnsi="Arial" w:cs="Arial"/>
                <w:sz w:val="18"/>
                <w:szCs w:val="18"/>
              </w:rPr>
              <w:t>EN# Author (Year)</w:t>
            </w:r>
          </w:p>
        </w:tc>
        <w:tc>
          <w:tcPr>
            <w:tcW w:w="12780" w:type="dxa"/>
            <w:tcMar>
              <w:top w:w="43" w:type="dxa"/>
              <w:left w:w="115" w:type="dxa"/>
              <w:bottom w:w="43" w:type="dxa"/>
              <w:right w:w="115" w:type="dxa"/>
            </w:tcMar>
            <w:vAlign w:val="bottom"/>
          </w:tcPr>
          <w:p w14:paraId="0810CD07" w14:textId="77777777" w:rsidR="00E63960" w:rsidRPr="00E63960" w:rsidRDefault="00E63960" w:rsidP="00E6396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63960">
              <w:rPr>
                <w:rFonts w:ascii="Arial" w:eastAsia="Times New Roman" w:hAnsi="Arial" w:cs="Arial"/>
                <w:sz w:val="20"/>
                <w:szCs w:val="20"/>
              </w:rPr>
              <w:t>Overall</w:t>
            </w:r>
          </w:p>
        </w:tc>
      </w:tr>
      <w:tr w:rsidR="00E63960" w:rsidRPr="00866E71" w14:paraId="2CDBA74B" w14:textId="77777777" w:rsidTr="00E63960">
        <w:trPr>
          <w:cnfStyle w:val="000000100000" w:firstRow="0" w:lastRow="0" w:firstColumn="0" w:lastColumn="0" w:oddVBand="0" w:evenVBand="0" w:oddHBand="1" w:evenHBand="0" w:firstRowFirstColumn="0" w:firstRowLastColumn="0" w:lastRowFirstColumn="0" w:lastRowLastColumn="0"/>
          <w:trHeight w:val="1522"/>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693813E3" w14:textId="77777777" w:rsidR="00E63960" w:rsidRPr="00A27330" w:rsidRDefault="00E63960" w:rsidP="008B1C7A">
            <w:pPr>
              <w:spacing w:after="0"/>
              <w:rPr>
                <w:rFonts w:ascii="Arial" w:eastAsia="Times New Roman" w:hAnsi="Arial" w:cs="Arial"/>
                <w:b w:val="0"/>
                <w:bCs w:val="0"/>
                <w:color w:val="000000"/>
                <w:sz w:val="20"/>
                <w:szCs w:val="20"/>
              </w:rPr>
            </w:pPr>
            <w:r w:rsidRPr="00A27330">
              <w:rPr>
                <w:rFonts w:ascii="Arial" w:eastAsia="Times New Roman" w:hAnsi="Arial" w:cs="Arial"/>
                <w:color w:val="000000"/>
                <w:sz w:val="20"/>
                <w:szCs w:val="20"/>
              </w:rPr>
              <w:t>EN#340</w:t>
            </w:r>
          </w:p>
          <w:p w14:paraId="4F71D9CC" w14:textId="77777777" w:rsidR="00E63960" w:rsidRDefault="00E63960" w:rsidP="008B1C7A">
            <w:pPr>
              <w:spacing w:after="0"/>
              <w:rPr>
                <w:rFonts w:ascii="Arial" w:eastAsia="Times New Roman" w:hAnsi="Arial" w:cs="Arial"/>
                <w:color w:val="000000"/>
                <w:sz w:val="20"/>
                <w:szCs w:val="20"/>
              </w:rPr>
            </w:pPr>
            <w:r w:rsidRPr="00A27330">
              <w:rPr>
                <w:rFonts w:ascii="Arial" w:eastAsia="Times New Roman" w:hAnsi="Arial" w:cs="Arial"/>
                <w:color w:val="000000"/>
                <w:sz w:val="20"/>
                <w:szCs w:val="20"/>
              </w:rPr>
              <w:t xml:space="preserve">Collins (2009) </w:t>
            </w:r>
          </w:p>
          <w:p w14:paraId="34A75EA4" w14:textId="77777777" w:rsidR="0073536B" w:rsidRDefault="0073536B" w:rsidP="008B1C7A">
            <w:pPr>
              <w:spacing w:after="0"/>
              <w:rPr>
                <w:rFonts w:ascii="Arial" w:eastAsia="Times New Roman" w:hAnsi="Arial" w:cs="Arial"/>
                <w:b w:val="0"/>
                <w:color w:val="000000"/>
                <w:sz w:val="20"/>
                <w:szCs w:val="20"/>
              </w:rPr>
            </w:pPr>
          </w:p>
          <w:p w14:paraId="275FCF32" w14:textId="37F45D2D" w:rsidR="0073536B" w:rsidRPr="0073536B" w:rsidRDefault="0073536B" w:rsidP="008B1C7A">
            <w:pPr>
              <w:spacing w:after="0"/>
              <w:rPr>
                <w:rFonts w:ascii="Arial" w:hAnsi="Arial" w:cs="Arial"/>
                <w:b w:val="0"/>
                <w:sz w:val="20"/>
                <w:szCs w:val="20"/>
              </w:rPr>
            </w:pPr>
            <w:r>
              <w:rPr>
                <w:rFonts w:ascii="Arial" w:eastAsia="Times New Roman" w:hAnsi="Arial" w:cs="Arial"/>
                <w:b w:val="0"/>
                <w:color w:val="000000"/>
                <w:sz w:val="20"/>
                <w:szCs w:val="20"/>
              </w:rPr>
              <w:t>Subtle decline but improves</w:t>
            </w:r>
          </w:p>
        </w:tc>
        <w:tc>
          <w:tcPr>
            <w:tcW w:w="12780" w:type="dxa"/>
            <w:tcMar>
              <w:top w:w="43" w:type="dxa"/>
              <w:left w:w="115" w:type="dxa"/>
              <w:bottom w:w="43" w:type="dxa"/>
              <w:right w:w="115" w:type="dxa"/>
            </w:tcMar>
            <w:vAlign w:val="center"/>
          </w:tcPr>
          <w:p w14:paraId="0B8542CF" w14:textId="0862A80F" w:rsidR="00E63960" w:rsidRPr="00E63960" w:rsidRDefault="00E63960" w:rsidP="00E63960">
            <w:pPr>
              <w:spacing w:after="0"/>
              <w:ind w:left="130" w:hanging="13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960">
              <w:rPr>
                <w:rFonts w:ascii="Arial" w:hAnsi="Arial" w:cs="Arial"/>
                <w:sz w:val="20"/>
                <w:szCs w:val="20"/>
              </w:rPr>
              <w:t>Chemo group: Subtle decline in mean scores of executive function and processing speed T1-T2, T1-T3; (Chemo+HT worse ove</w:t>
            </w:r>
            <w:r w:rsidR="000F01C3">
              <w:rPr>
                <w:rFonts w:ascii="Arial" w:hAnsi="Arial" w:cs="Arial"/>
                <w:sz w:val="20"/>
                <w:szCs w:val="20"/>
              </w:rPr>
              <w:t>r</w:t>
            </w:r>
            <w:bookmarkStart w:id="0" w:name="_GoBack"/>
            <w:bookmarkEnd w:id="0"/>
            <w:r w:rsidRPr="00E63960">
              <w:rPr>
                <w:rFonts w:ascii="Arial" w:hAnsi="Arial" w:cs="Arial"/>
                <w:sz w:val="20"/>
                <w:szCs w:val="20"/>
              </w:rPr>
              <w:t>all)</w:t>
            </w:r>
          </w:p>
          <w:p w14:paraId="1260A989" w14:textId="77777777" w:rsidR="00E63960" w:rsidRPr="00E63960" w:rsidRDefault="00E63960" w:rsidP="00E63960">
            <w:pPr>
              <w:spacing w:after="0"/>
              <w:ind w:left="130" w:hanging="13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960">
              <w:rPr>
                <w:rFonts w:ascii="Arial" w:hAnsi="Arial" w:cs="Arial"/>
                <w:sz w:val="20"/>
                <w:szCs w:val="20"/>
              </w:rPr>
              <w:t xml:space="preserve">HT-only: Slight decline in mean scores of motor function from T1 to T2, but improved at T3 back to T1 level </w:t>
            </w:r>
          </w:p>
          <w:p w14:paraId="2154B84D" w14:textId="76EF2556" w:rsidR="00E63960" w:rsidRPr="00E63960" w:rsidRDefault="00E63960" w:rsidP="00E63960">
            <w:pPr>
              <w:spacing w:after="0"/>
              <w:ind w:left="130" w:hanging="13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E63960">
              <w:rPr>
                <w:rFonts w:ascii="Arial" w:eastAsia="Times New Roman" w:hAnsi="Arial" w:cs="Arial"/>
                <w:bCs/>
                <w:sz w:val="20"/>
                <w:szCs w:val="20"/>
              </w:rPr>
              <w:t>Significant decline from T1 to T2 in visual and verbal working memory scores of chemo group compared to HT-only; no significant difference in change at T3</w:t>
            </w:r>
          </w:p>
          <w:p w14:paraId="19C427CC" w14:textId="4F7847B5" w:rsidR="00E63960" w:rsidRPr="00E63960" w:rsidRDefault="00E63960" w:rsidP="00E63960">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960">
              <w:rPr>
                <w:rFonts w:ascii="Arial" w:eastAsia="Times New Roman" w:hAnsi="Arial" w:cs="Arial"/>
                <w:bCs/>
                <w:sz w:val="20"/>
                <w:szCs w:val="20"/>
              </w:rPr>
              <w:t>Significant increase from T1 to T3 in executive function scores of HT-only compared to chemo group</w:t>
            </w:r>
            <w:r w:rsidRPr="00E63960">
              <w:rPr>
                <w:rFonts w:ascii="Arial" w:eastAsia="Times New Roman" w:hAnsi="Arial" w:cs="Arial"/>
                <w:sz w:val="20"/>
                <w:szCs w:val="20"/>
              </w:rPr>
              <w:t xml:space="preserve"> </w:t>
            </w:r>
          </w:p>
        </w:tc>
      </w:tr>
      <w:tr w:rsidR="00E63960" w:rsidRPr="00866E71" w14:paraId="2B8AC5AA" w14:textId="77777777" w:rsidTr="00E63960">
        <w:tc>
          <w:tcPr>
            <w:cnfStyle w:val="001000000000" w:firstRow="0" w:lastRow="0" w:firstColumn="1" w:lastColumn="0" w:oddVBand="0" w:evenVBand="0" w:oddHBand="0" w:evenHBand="0" w:firstRowFirstColumn="0" w:firstRowLastColumn="0" w:lastRowFirstColumn="0" w:lastRowLastColumn="0"/>
            <w:tcW w:w="1818" w:type="dxa"/>
            <w:vAlign w:val="center"/>
          </w:tcPr>
          <w:p w14:paraId="7F9A3314" w14:textId="34E39FCC" w:rsidR="00E63960" w:rsidRPr="00A2733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EN#2237</w:t>
            </w:r>
          </w:p>
          <w:p w14:paraId="13E68482" w14:textId="77777777" w:rsidR="00E6396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Bender (2006)</w:t>
            </w:r>
          </w:p>
          <w:p w14:paraId="0D763B48" w14:textId="77777777" w:rsidR="0073536B" w:rsidRDefault="0073536B" w:rsidP="008B1C7A">
            <w:pPr>
              <w:spacing w:after="0"/>
              <w:rPr>
                <w:rFonts w:ascii="Arial" w:eastAsia="Times New Roman" w:hAnsi="Arial" w:cs="Arial"/>
                <w:bCs w:val="0"/>
                <w:color w:val="000000"/>
                <w:sz w:val="20"/>
                <w:szCs w:val="20"/>
              </w:rPr>
            </w:pPr>
          </w:p>
          <w:p w14:paraId="59A67D54" w14:textId="6FC22280" w:rsidR="0073536B" w:rsidRPr="0073536B" w:rsidRDefault="00CC51B7" w:rsidP="00CC51B7">
            <w:pPr>
              <w:spacing w:after="0"/>
              <w:rPr>
                <w:rFonts w:ascii="Arial" w:hAnsi="Arial" w:cs="Arial"/>
                <w:b w:val="0"/>
                <w:sz w:val="20"/>
                <w:szCs w:val="20"/>
              </w:rPr>
            </w:pPr>
            <w:r>
              <w:rPr>
                <w:rFonts w:ascii="Arial" w:eastAsia="Times New Roman" w:hAnsi="Arial" w:cs="Arial"/>
                <w:b w:val="0"/>
                <w:bCs w:val="0"/>
                <w:color w:val="000000"/>
                <w:sz w:val="20"/>
                <w:szCs w:val="20"/>
              </w:rPr>
              <w:t>Decline, which may persist</w:t>
            </w:r>
          </w:p>
        </w:tc>
        <w:tc>
          <w:tcPr>
            <w:tcW w:w="12780" w:type="dxa"/>
            <w:tcMar>
              <w:top w:w="43" w:type="dxa"/>
              <w:left w:w="115" w:type="dxa"/>
              <w:bottom w:w="43" w:type="dxa"/>
              <w:right w:w="115" w:type="dxa"/>
            </w:tcMar>
            <w:vAlign w:val="center"/>
          </w:tcPr>
          <w:p w14:paraId="71AB5C91" w14:textId="77777777" w:rsidR="00E63960" w:rsidRPr="00E63960" w:rsidRDefault="00E63960" w:rsidP="00E63960">
            <w:pPr>
              <w:spacing w:after="0"/>
              <w:ind w:left="130" w:hanging="13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E63960">
              <w:rPr>
                <w:rFonts w:ascii="Arial" w:eastAsia="Times New Roman" w:hAnsi="Arial" w:cs="Arial"/>
                <w:bCs/>
                <w:sz w:val="20"/>
                <w:szCs w:val="20"/>
              </w:rPr>
              <w:t xml:space="preserve">No group difference at T2 </w:t>
            </w:r>
          </w:p>
          <w:p w14:paraId="560B205C" w14:textId="77777777" w:rsidR="00E63960" w:rsidRPr="00E63960" w:rsidRDefault="00E63960" w:rsidP="00E63960">
            <w:pPr>
              <w:spacing w:after="0"/>
              <w:ind w:left="130" w:hanging="13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E63960">
              <w:rPr>
                <w:rFonts w:ascii="Arial" w:eastAsia="Times New Roman" w:hAnsi="Arial" w:cs="Arial"/>
                <w:bCs/>
                <w:sz w:val="20"/>
                <w:szCs w:val="20"/>
              </w:rPr>
              <w:t>No-chemo group: Significantly better mean cognitive scores than both chemo groups at T3</w:t>
            </w:r>
          </w:p>
          <w:p w14:paraId="03E542AA" w14:textId="77777777" w:rsidR="00E63960" w:rsidRPr="00E63960" w:rsidRDefault="00E63960" w:rsidP="00E63960">
            <w:pPr>
              <w:spacing w:after="0"/>
              <w:ind w:left="130" w:hanging="13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E63960">
              <w:rPr>
                <w:rFonts w:ascii="Arial" w:eastAsia="Times New Roman" w:hAnsi="Arial" w:cs="Arial"/>
                <w:bCs/>
                <w:sz w:val="20"/>
                <w:szCs w:val="20"/>
              </w:rPr>
              <w:t>Chemo+HT: Decline in visual and verbal working memory scores from T1 to T3</w:t>
            </w:r>
          </w:p>
          <w:p w14:paraId="6322E20B" w14:textId="0D3B340D" w:rsidR="00E63960" w:rsidRPr="00E63960" w:rsidRDefault="00E63960" w:rsidP="00E63960">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63960">
              <w:rPr>
                <w:rFonts w:ascii="Arial" w:eastAsia="Times New Roman" w:hAnsi="Arial" w:cs="Arial"/>
                <w:bCs/>
                <w:sz w:val="20"/>
                <w:szCs w:val="20"/>
              </w:rPr>
              <w:t>Chemo alone: Decline in verbal working memory scores from T1 to T3</w:t>
            </w:r>
          </w:p>
        </w:tc>
      </w:tr>
      <w:tr w:rsidR="00E63960" w:rsidRPr="00866E71" w14:paraId="776360CB" w14:textId="77777777" w:rsidTr="00E63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4641E944" w14:textId="1B7629B5" w:rsidR="00E63960" w:rsidRPr="00A2733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EN#248</w:t>
            </w:r>
          </w:p>
          <w:p w14:paraId="05B26CAF" w14:textId="77777777" w:rsidR="00CC51B7" w:rsidRPr="00CC51B7" w:rsidRDefault="00E63960" w:rsidP="008B1C7A">
            <w:pPr>
              <w:numPr>
                <w:ilvl w:val="0"/>
                <w:numId w:val="3"/>
              </w:numPr>
              <w:shd w:val="clear" w:color="auto" w:fill="FFFFFF"/>
              <w:spacing w:after="0" w:line="240" w:lineRule="auto"/>
              <w:ind w:left="0"/>
              <w:textAlignment w:val="baseline"/>
              <w:rPr>
                <w:rFonts w:ascii="Arial" w:hAnsi="Arial" w:cs="Arial"/>
                <w:sz w:val="20"/>
                <w:szCs w:val="20"/>
              </w:rPr>
            </w:pPr>
            <w:r w:rsidRPr="00A27330">
              <w:rPr>
                <w:rFonts w:ascii="Arial" w:eastAsia="Times New Roman" w:hAnsi="Arial" w:cs="Arial"/>
                <w:bCs w:val="0"/>
                <w:color w:val="000000"/>
                <w:sz w:val="20"/>
                <w:szCs w:val="20"/>
              </w:rPr>
              <w:t>Fan (2005)</w:t>
            </w:r>
          </w:p>
          <w:p w14:paraId="055EF2F8" w14:textId="77777777" w:rsidR="00CC51B7" w:rsidRDefault="00CC51B7" w:rsidP="00CC51B7">
            <w:pPr>
              <w:shd w:val="clear" w:color="auto" w:fill="FFFFFF"/>
              <w:spacing w:after="0" w:line="240" w:lineRule="auto"/>
              <w:textAlignment w:val="baseline"/>
              <w:rPr>
                <w:rFonts w:ascii="Arial" w:eastAsia="Times New Roman" w:hAnsi="Arial" w:cs="Arial"/>
                <w:b w:val="0"/>
                <w:bCs w:val="0"/>
                <w:color w:val="000000"/>
                <w:sz w:val="20"/>
                <w:szCs w:val="20"/>
              </w:rPr>
            </w:pPr>
          </w:p>
          <w:p w14:paraId="37CFCFE3" w14:textId="6A8153B8" w:rsidR="00E63960" w:rsidRPr="00E63960" w:rsidRDefault="00CC51B7" w:rsidP="00CC51B7">
            <w:pPr>
              <w:shd w:val="clear" w:color="auto" w:fill="FFFFFF"/>
              <w:spacing w:after="0" w:line="240" w:lineRule="auto"/>
              <w:textAlignment w:val="baseline"/>
              <w:rPr>
                <w:rFonts w:ascii="Arial" w:hAnsi="Arial" w:cs="Arial"/>
                <w:sz w:val="20"/>
                <w:szCs w:val="20"/>
              </w:rPr>
            </w:pPr>
            <w:r>
              <w:rPr>
                <w:rFonts w:ascii="Arial" w:eastAsia="Times New Roman" w:hAnsi="Arial" w:cs="Arial"/>
                <w:b w:val="0"/>
                <w:bCs w:val="0"/>
                <w:color w:val="000000"/>
                <w:sz w:val="20"/>
                <w:szCs w:val="20"/>
              </w:rPr>
              <w:t>Subtle decline but improves</w:t>
            </w:r>
          </w:p>
        </w:tc>
        <w:tc>
          <w:tcPr>
            <w:tcW w:w="12780" w:type="dxa"/>
            <w:tcMar>
              <w:top w:w="43" w:type="dxa"/>
              <w:left w:w="115" w:type="dxa"/>
              <w:bottom w:w="43" w:type="dxa"/>
              <w:right w:w="115" w:type="dxa"/>
            </w:tcMar>
            <w:vAlign w:val="center"/>
          </w:tcPr>
          <w:p w14:paraId="18361065" w14:textId="536DE7C9" w:rsidR="001B3384" w:rsidRPr="00303A22" w:rsidRDefault="001B3384" w:rsidP="00303A22">
            <w:pPr>
              <w:spacing w:after="0"/>
              <w:ind w:left="144" w:hanging="14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shd w:val="clear" w:color="auto" w:fill="FFFFFF"/>
              </w:rPr>
            </w:pPr>
            <w:r w:rsidRPr="00303A22">
              <w:rPr>
                <w:rFonts w:ascii="Arial" w:eastAsia="Times New Roman" w:hAnsi="Arial" w:cs="Arial"/>
                <w:sz w:val="20"/>
                <w:szCs w:val="20"/>
                <w:shd w:val="clear" w:color="auto" w:fill="FFFFFF"/>
              </w:rPr>
              <w:t xml:space="preserve">At baseline, chemo group had </w:t>
            </w:r>
            <w:r w:rsidRPr="001B3384">
              <w:rPr>
                <w:rFonts w:ascii="Arial" w:eastAsia="Times New Roman" w:hAnsi="Arial" w:cs="Arial"/>
                <w:sz w:val="20"/>
                <w:szCs w:val="20"/>
                <w:shd w:val="clear" w:color="auto" w:fill="FFFFFF"/>
              </w:rPr>
              <w:t xml:space="preserve">moderate-severe cognitive dysfunction </w:t>
            </w:r>
            <w:r w:rsidRPr="00303A22">
              <w:rPr>
                <w:rFonts w:ascii="Arial" w:eastAsia="Times New Roman" w:hAnsi="Arial" w:cs="Arial"/>
                <w:sz w:val="20"/>
                <w:szCs w:val="20"/>
                <w:shd w:val="clear" w:color="auto" w:fill="FFFFFF"/>
              </w:rPr>
              <w:t>(</w:t>
            </w:r>
            <w:r w:rsidRPr="001B3384">
              <w:rPr>
                <w:rFonts w:ascii="Arial" w:eastAsia="Times New Roman" w:hAnsi="Arial" w:cs="Arial"/>
                <w:sz w:val="20"/>
                <w:szCs w:val="20"/>
                <w:shd w:val="clear" w:color="auto" w:fill="FFFFFF"/>
              </w:rPr>
              <w:t>by the HSCS</w:t>
            </w:r>
            <w:r w:rsidRPr="00303A22">
              <w:rPr>
                <w:rFonts w:ascii="Arial" w:eastAsia="Times New Roman" w:hAnsi="Arial" w:cs="Arial"/>
                <w:sz w:val="20"/>
                <w:szCs w:val="20"/>
                <w:shd w:val="clear" w:color="auto" w:fill="FFFFFF"/>
              </w:rPr>
              <w:t xml:space="preserve">, </w:t>
            </w:r>
            <w:r w:rsidRPr="001B3384">
              <w:rPr>
                <w:rFonts w:ascii="Arial" w:eastAsia="Times New Roman" w:hAnsi="Arial" w:cs="Arial"/>
                <w:i/>
                <w:iCs/>
                <w:sz w:val="20"/>
                <w:szCs w:val="20"/>
                <w:bdr w:val="none" w:sz="0" w:space="0" w:color="auto" w:frame="1"/>
                <w:shd w:val="clear" w:color="auto" w:fill="FFFFFF"/>
              </w:rPr>
              <w:t>P</w:t>
            </w:r>
            <w:r w:rsidRPr="001B3384">
              <w:rPr>
                <w:rFonts w:ascii="Arial" w:eastAsia="Times New Roman" w:hAnsi="Arial" w:cs="Arial"/>
                <w:sz w:val="20"/>
                <w:szCs w:val="20"/>
                <w:shd w:val="clear" w:color="auto" w:fill="FFFFFF"/>
              </w:rPr>
              <w:t> </w:t>
            </w:r>
            <w:r w:rsidRPr="00303A22">
              <w:rPr>
                <w:rFonts w:ascii="Arial" w:eastAsia="Times New Roman" w:hAnsi="Arial" w:cs="Arial"/>
                <w:sz w:val="20"/>
                <w:szCs w:val="20"/>
                <w:shd w:val="clear" w:color="auto" w:fill="FFFFFF"/>
              </w:rPr>
              <w:t xml:space="preserve">= .02 borderline </w:t>
            </w:r>
            <w:r w:rsidRPr="001B3384">
              <w:rPr>
                <w:rFonts w:ascii="Arial" w:eastAsia="Times New Roman" w:hAnsi="Arial" w:cs="Arial"/>
                <w:sz w:val="20"/>
                <w:szCs w:val="20"/>
                <w:shd w:val="clear" w:color="auto" w:fill="FFFFFF"/>
              </w:rPr>
              <w:t>when corrected for the four primary end points</w:t>
            </w:r>
            <w:r w:rsidRPr="00303A22">
              <w:rPr>
                <w:rFonts w:ascii="Arial" w:eastAsia="Times New Roman" w:hAnsi="Arial" w:cs="Arial"/>
                <w:sz w:val="20"/>
                <w:szCs w:val="20"/>
                <w:shd w:val="clear" w:color="auto" w:fill="FFFFFF"/>
              </w:rPr>
              <w:t>)</w:t>
            </w:r>
            <w:r w:rsidRPr="001B3384">
              <w:rPr>
                <w:rFonts w:ascii="Arial" w:eastAsia="Times New Roman" w:hAnsi="Arial" w:cs="Arial"/>
                <w:sz w:val="20"/>
                <w:szCs w:val="20"/>
                <w:shd w:val="clear" w:color="auto" w:fill="FFFFFF"/>
              </w:rPr>
              <w:t xml:space="preserve"> </w:t>
            </w:r>
            <w:r w:rsidRPr="00303A22">
              <w:rPr>
                <w:rFonts w:ascii="Arial" w:eastAsia="Times New Roman" w:hAnsi="Arial" w:cs="Arial"/>
                <w:sz w:val="20"/>
                <w:szCs w:val="20"/>
                <w:shd w:val="clear" w:color="auto" w:fill="FFFFFF"/>
              </w:rPr>
              <w:t>compared to control. 2-year follow-up, the proportion of patients with moderate-severe cognitive impairment improved from 16% to 4%.</w:t>
            </w:r>
          </w:p>
          <w:p w14:paraId="3A61E429" w14:textId="12A9628D" w:rsidR="001B3384" w:rsidRPr="00303A22" w:rsidRDefault="001B3384" w:rsidP="00303A22">
            <w:pPr>
              <w:spacing w:after="0"/>
              <w:ind w:left="144" w:hanging="14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03A22">
              <w:rPr>
                <w:rFonts w:ascii="Arial" w:eastAsia="Times New Roman" w:hAnsi="Arial" w:cs="Arial"/>
                <w:sz w:val="20"/>
                <w:szCs w:val="20"/>
                <w:shd w:val="clear" w:color="auto" w:fill="FFFFFF"/>
              </w:rPr>
              <w:t>N</w:t>
            </w:r>
            <w:r w:rsidRPr="001B3384">
              <w:rPr>
                <w:rFonts w:ascii="Arial" w:eastAsia="Times New Roman" w:hAnsi="Arial" w:cs="Arial"/>
                <w:sz w:val="20"/>
                <w:szCs w:val="20"/>
                <w:shd w:val="clear" w:color="auto" w:fill="FFFFFF"/>
              </w:rPr>
              <w:t>o significant difference in HSCS scores between patients who had hormonal treatment and those with ER-negative tumors who did not.</w:t>
            </w:r>
          </w:p>
          <w:p w14:paraId="3A670072" w14:textId="6E79A25C" w:rsidR="00E63960" w:rsidRPr="00E63960" w:rsidRDefault="001B3384" w:rsidP="00303A22">
            <w:pPr>
              <w:spacing w:after="0"/>
              <w:ind w:left="144" w:hanging="14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3384">
              <w:rPr>
                <w:rFonts w:ascii="Arial" w:eastAsia="Times New Roman" w:hAnsi="Arial" w:cs="Arial"/>
                <w:sz w:val="20"/>
                <w:szCs w:val="20"/>
                <w:shd w:val="clear" w:color="auto" w:fill="FFFFFF"/>
              </w:rPr>
              <w:t>Results for the Trails A and Trails B tests</w:t>
            </w:r>
            <w:r w:rsidRPr="00303A22">
              <w:rPr>
                <w:rFonts w:ascii="Arial" w:eastAsia="Times New Roman" w:hAnsi="Arial" w:cs="Arial"/>
                <w:sz w:val="20"/>
                <w:szCs w:val="20"/>
                <w:shd w:val="clear" w:color="auto" w:fill="FFFFFF"/>
              </w:rPr>
              <w:t xml:space="preserve"> (not a primary end point): </w:t>
            </w:r>
            <w:r w:rsidRPr="001B3384">
              <w:rPr>
                <w:rFonts w:ascii="Arial" w:eastAsia="Times New Roman" w:hAnsi="Arial" w:cs="Arial"/>
                <w:sz w:val="20"/>
                <w:szCs w:val="20"/>
                <w:shd w:val="clear" w:color="auto" w:fill="FFFFFF"/>
              </w:rPr>
              <w:t>Patients seemed to have poorer performance than controls on the Trails B tes</w:t>
            </w:r>
            <w:r w:rsidRPr="00303A22">
              <w:rPr>
                <w:rFonts w:ascii="Arial" w:eastAsia="Times New Roman" w:hAnsi="Arial" w:cs="Arial"/>
                <w:sz w:val="20"/>
                <w:szCs w:val="20"/>
                <w:shd w:val="clear" w:color="auto" w:fill="FFFFFF"/>
              </w:rPr>
              <w:t>t at 1 and 2 years of follow-up</w:t>
            </w:r>
            <w:r w:rsidRPr="001B3384">
              <w:rPr>
                <w:rFonts w:ascii="Arial" w:eastAsia="Times New Roman" w:hAnsi="Arial" w:cs="Arial"/>
                <w:sz w:val="20"/>
                <w:szCs w:val="20"/>
                <w:shd w:val="clear" w:color="auto" w:fill="FFFFFF"/>
              </w:rPr>
              <w:t>.</w:t>
            </w:r>
            <w:r w:rsidRPr="00E63960">
              <w:rPr>
                <w:rFonts w:ascii="Arial" w:hAnsi="Arial" w:cs="Arial"/>
                <w:sz w:val="20"/>
                <w:szCs w:val="20"/>
              </w:rPr>
              <w:t xml:space="preserve"> </w:t>
            </w:r>
          </w:p>
        </w:tc>
      </w:tr>
      <w:tr w:rsidR="00E63960" w:rsidRPr="00866E71" w14:paraId="29C98F1A" w14:textId="77777777" w:rsidTr="00E63960">
        <w:tc>
          <w:tcPr>
            <w:cnfStyle w:val="001000000000" w:firstRow="0" w:lastRow="0" w:firstColumn="1" w:lastColumn="0" w:oddVBand="0" w:evenVBand="0" w:oddHBand="0" w:evenHBand="0" w:firstRowFirstColumn="0" w:firstRowLastColumn="0" w:lastRowFirstColumn="0" w:lastRowLastColumn="0"/>
            <w:tcW w:w="1818" w:type="dxa"/>
            <w:vAlign w:val="center"/>
          </w:tcPr>
          <w:p w14:paraId="2313853E" w14:textId="1F2ABB01" w:rsidR="00E63960" w:rsidRPr="00A2733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EN#2246</w:t>
            </w:r>
          </w:p>
          <w:p w14:paraId="7E75B65F" w14:textId="77777777" w:rsidR="00E6396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McDonald (2012)</w:t>
            </w:r>
          </w:p>
          <w:p w14:paraId="04E2565F" w14:textId="77777777" w:rsidR="003C3B26" w:rsidRDefault="003C3B26" w:rsidP="008B1C7A">
            <w:pPr>
              <w:spacing w:after="0"/>
              <w:rPr>
                <w:rFonts w:ascii="Arial" w:eastAsia="Times New Roman" w:hAnsi="Arial" w:cs="Arial"/>
                <w:bCs w:val="0"/>
                <w:color w:val="000000"/>
                <w:sz w:val="20"/>
                <w:szCs w:val="20"/>
              </w:rPr>
            </w:pPr>
          </w:p>
          <w:p w14:paraId="46144290" w14:textId="0CDB83E8" w:rsidR="003C3B26" w:rsidRPr="003C3B26" w:rsidRDefault="003C3B26" w:rsidP="008B1C7A">
            <w:pPr>
              <w:spacing w:after="0"/>
              <w:rPr>
                <w:rFonts w:ascii="Arial" w:eastAsia="Times New Roman" w:hAnsi="Arial" w:cs="Arial"/>
                <w:b w:val="0"/>
                <w:bCs w:val="0"/>
                <w:color w:val="000000"/>
                <w:sz w:val="20"/>
                <w:szCs w:val="20"/>
              </w:rPr>
            </w:pPr>
            <w:r>
              <w:rPr>
                <w:rFonts w:ascii="Arial" w:eastAsia="Times New Roman" w:hAnsi="Arial" w:cs="Arial"/>
                <w:b w:val="0"/>
                <w:bCs w:val="0"/>
                <w:color w:val="000000"/>
                <w:sz w:val="20"/>
                <w:szCs w:val="20"/>
              </w:rPr>
              <w:t>Functional changes associated with CX</w:t>
            </w:r>
          </w:p>
        </w:tc>
        <w:tc>
          <w:tcPr>
            <w:tcW w:w="12780" w:type="dxa"/>
            <w:tcMar>
              <w:top w:w="43" w:type="dxa"/>
              <w:left w:w="115" w:type="dxa"/>
              <w:bottom w:w="43" w:type="dxa"/>
              <w:right w:w="115" w:type="dxa"/>
            </w:tcMar>
            <w:vAlign w:val="center"/>
          </w:tcPr>
          <w:p w14:paraId="5B9856A4" w14:textId="77777777" w:rsidR="00472FFC" w:rsidRPr="00470EE7" w:rsidRDefault="00172BCE" w:rsidP="00472FFC">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shd w:val="clear" w:color="auto" w:fill="FFFFFF"/>
              </w:rPr>
            </w:pPr>
            <w:r w:rsidRPr="00470EE7">
              <w:rPr>
                <w:rFonts w:ascii="Arial" w:eastAsia="Times New Roman" w:hAnsi="Arial" w:cs="Arial"/>
                <w:color w:val="000000"/>
                <w:sz w:val="20"/>
                <w:szCs w:val="20"/>
                <w:shd w:val="clear" w:color="auto" w:fill="FFFFFF"/>
              </w:rPr>
              <w:t xml:space="preserve">At baseline, patients with cancer showed increased bifrontal and decreased left parietal activation compared with controls. </w:t>
            </w:r>
            <w:r w:rsidR="00BD7624" w:rsidRPr="00470EE7">
              <w:rPr>
                <w:rFonts w:ascii="Arial" w:eastAsia="Times New Roman" w:hAnsi="Arial" w:cs="Arial"/>
                <w:color w:val="000000"/>
                <w:sz w:val="20"/>
                <w:szCs w:val="20"/>
                <w:shd w:val="clear" w:color="auto" w:fill="FFFFFF"/>
              </w:rPr>
              <w:t>At every time point, the measurements varied compared to controls.</w:t>
            </w:r>
          </w:p>
          <w:p w14:paraId="03B69B33" w14:textId="77777777" w:rsidR="00EB436B" w:rsidRPr="00470EE7" w:rsidRDefault="00472FFC" w:rsidP="00EB436B">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shd w:val="clear" w:color="auto" w:fill="FFFFFF"/>
              </w:rPr>
            </w:pPr>
            <w:r w:rsidRPr="00470EE7">
              <w:rPr>
                <w:rFonts w:ascii="Arial" w:eastAsia="Times New Roman" w:hAnsi="Arial" w:cs="Arial"/>
                <w:color w:val="000000"/>
                <w:sz w:val="20"/>
                <w:szCs w:val="20"/>
                <w:shd w:val="clear" w:color="auto" w:fill="FFFFFF"/>
              </w:rPr>
              <w:t xml:space="preserve">Task performance accuracy and reaction times did not differ between groups or over time for individual task conditions. </w:t>
            </w:r>
          </w:p>
          <w:p w14:paraId="124A7079" w14:textId="563E02A5" w:rsidR="00E63960" w:rsidRPr="00BF0065" w:rsidRDefault="00472FFC" w:rsidP="00BF0065">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shd w:val="clear" w:color="auto" w:fill="FFFFFF"/>
              </w:rPr>
            </w:pPr>
            <w:r w:rsidRPr="00470EE7">
              <w:rPr>
                <w:rFonts w:ascii="Arial" w:eastAsia="Times New Roman" w:hAnsi="Arial" w:cs="Arial"/>
                <w:color w:val="000000"/>
                <w:sz w:val="20"/>
                <w:szCs w:val="20"/>
                <w:shd w:val="clear" w:color="auto" w:fill="FFFFFF"/>
              </w:rPr>
              <w:t>Repeated measures ANOVA showed the expected main effect of load (</w:t>
            </w:r>
            <w:r w:rsidRPr="00470EE7">
              <w:rPr>
                <w:rFonts w:ascii="Arial" w:eastAsia="Times New Roman" w:hAnsi="Arial" w:cs="Arial"/>
                <w:i/>
                <w:iCs/>
                <w:color w:val="000000"/>
                <w:sz w:val="20"/>
                <w:szCs w:val="20"/>
                <w:shd w:val="clear" w:color="auto" w:fill="FFFFFF"/>
              </w:rPr>
              <w:t>P</w:t>
            </w:r>
            <w:r w:rsidRPr="00470EE7">
              <w:rPr>
                <w:rFonts w:ascii="Arial" w:eastAsia="Times New Roman" w:hAnsi="Arial" w:cs="Arial"/>
                <w:color w:val="000000"/>
                <w:sz w:val="20"/>
                <w:szCs w:val="20"/>
                <w:shd w:val="clear" w:color="auto" w:fill="FFFFFF"/>
              </w:rPr>
              <w:t> &lt; .001; performance was better for low load). The profile of the CTx+ group showed a non</w:t>
            </w:r>
            <w:r w:rsidR="00EB436B" w:rsidRPr="00470EE7">
              <w:rPr>
                <w:rFonts w:ascii="Arial" w:eastAsia="Times New Roman" w:hAnsi="Arial" w:cs="Arial"/>
                <w:color w:val="000000"/>
                <w:sz w:val="20"/>
                <w:szCs w:val="20"/>
                <w:shd w:val="clear" w:color="auto" w:fill="FFFFFF"/>
              </w:rPr>
              <w:t>-</w:t>
            </w:r>
            <w:r w:rsidRPr="00470EE7">
              <w:rPr>
                <w:rFonts w:ascii="Arial" w:eastAsia="Times New Roman" w:hAnsi="Arial" w:cs="Arial"/>
                <w:color w:val="000000"/>
                <w:sz w:val="20"/>
                <w:szCs w:val="20"/>
                <w:shd w:val="clear" w:color="auto" w:fill="FFFFFF"/>
              </w:rPr>
              <w:t>significant (</w:t>
            </w:r>
            <w:r w:rsidRPr="00470EE7">
              <w:rPr>
                <w:rFonts w:ascii="Arial" w:eastAsia="Times New Roman" w:hAnsi="Arial" w:cs="Arial"/>
                <w:i/>
                <w:iCs/>
                <w:color w:val="000000"/>
                <w:sz w:val="20"/>
                <w:szCs w:val="20"/>
                <w:shd w:val="clear" w:color="auto" w:fill="FFFFFF"/>
              </w:rPr>
              <w:t>P</w:t>
            </w:r>
            <w:r w:rsidRPr="00470EE7">
              <w:rPr>
                <w:rFonts w:ascii="Arial" w:eastAsia="Times New Roman" w:hAnsi="Arial" w:cs="Arial"/>
                <w:color w:val="000000"/>
                <w:sz w:val="20"/>
                <w:szCs w:val="20"/>
                <w:shd w:val="clear" w:color="auto" w:fill="FFFFFF"/>
              </w:rPr>
              <w:t xml:space="preserve"> = .16) decrease in high-load performance at M1 compared with baseline, with improved performance at Y1. </w:t>
            </w:r>
            <w:r w:rsidR="00EB436B" w:rsidRPr="00470EE7">
              <w:rPr>
                <w:rFonts w:ascii="Arial" w:eastAsia="Times New Roman" w:hAnsi="Arial" w:cs="Arial"/>
                <w:color w:val="000000"/>
                <w:sz w:val="20"/>
                <w:szCs w:val="20"/>
                <w:shd w:val="clear" w:color="auto" w:fill="FFFFFF"/>
              </w:rPr>
              <w:t>O</w:t>
            </w:r>
            <w:r w:rsidRPr="00470EE7">
              <w:rPr>
                <w:rFonts w:ascii="Arial" w:eastAsia="Times New Roman" w:hAnsi="Arial" w:cs="Arial"/>
                <w:color w:val="000000"/>
                <w:sz w:val="20"/>
                <w:szCs w:val="20"/>
                <w:shd w:val="clear" w:color="auto" w:fill="FFFFFF"/>
              </w:rPr>
              <w:t>ther group</w:t>
            </w:r>
            <w:r w:rsidR="00EB436B" w:rsidRPr="00470EE7">
              <w:rPr>
                <w:rFonts w:ascii="Arial" w:eastAsia="Times New Roman" w:hAnsi="Arial" w:cs="Arial"/>
                <w:color w:val="000000"/>
                <w:sz w:val="20"/>
                <w:szCs w:val="20"/>
                <w:shd w:val="clear" w:color="auto" w:fill="FFFFFF"/>
              </w:rPr>
              <w:t>s did not show this outcome.</w:t>
            </w:r>
          </w:p>
        </w:tc>
      </w:tr>
      <w:tr w:rsidR="00E63960" w:rsidRPr="00866E71" w14:paraId="0EB8574C" w14:textId="77777777" w:rsidTr="00E63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361A28B8" w14:textId="63951027" w:rsidR="00E63960" w:rsidRPr="00A2733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EN#2242</w:t>
            </w:r>
          </w:p>
          <w:p w14:paraId="69B4474B" w14:textId="77777777" w:rsidR="00E6396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Wefel (2004)</w:t>
            </w:r>
          </w:p>
          <w:p w14:paraId="442003FD" w14:textId="77777777" w:rsidR="00C32C09" w:rsidRDefault="00C32C09" w:rsidP="008B1C7A">
            <w:pPr>
              <w:spacing w:after="0"/>
              <w:rPr>
                <w:rFonts w:ascii="Arial" w:eastAsia="Times New Roman" w:hAnsi="Arial" w:cs="Arial"/>
                <w:bCs w:val="0"/>
                <w:color w:val="000000"/>
                <w:sz w:val="20"/>
                <w:szCs w:val="20"/>
              </w:rPr>
            </w:pPr>
          </w:p>
          <w:p w14:paraId="2498D85D" w14:textId="0F4D42DB" w:rsidR="00C32C09" w:rsidRPr="00C32C09" w:rsidRDefault="00C32C09" w:rsidP="008B1C7A">
            <w:pPr>
              <w:spacing w:after="0"/>
              <w:rPr>
                <w:rFonts w:ascii="Arial" w:hAnsi="Arial" w:cs="Arial"/>
                <w:b w:val="0"/>
                <w:sz w:val="20"/>
                <w:szCs w:val="20"/>
              </w:rPr>
            </w:pPr>
            <w:r>
              <w:rPr>
                <w:rFonts w:ascii="Arial" w:eastAsia="Times New Roman" w:hAnsi="Arial" w:cs="Arial"/>
                <w:b w:val="0"/>
                <w:bCs w:val="0"/>
                <w:color w:val="000000"/>
                <w:sz w:val="20"/>
                <w:szCs w:val="20"/>
              </w:rPr>
              <w:t>Decline with improvement over time</w:t>
            </w:r>
          </w:p>
        </w:tc>
        <w:tc>
          <w:tcPr>
            <w:tcW w:w="12780" w:type="dxa"/>
            <w:tcMar>
              <w:top w:w="43" w:type="dxa"/>
              <w:left w:w="115" w:type="dxa"/>
              <w:bottom w:w="43" w:type="dxa"/>
              <w:right w:w="115" w:type="dxa"/>
            </w:tcMar>
            <w:vAlign w:val="center"/>
          </w:tcPr>
          <w:p w14:paraId="16C4B58D" w14:textId="77777777" w:rsidR="00EC1587" w:rsidRDefault="00830618" w:rsidP="00EC1587">
            <w:pPr>
              <w:spacing w:after="0"/>
              <w:ind w:left="144" w:hanging="14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C1587">
              <w:rPr>
                <w:rFonts w:ascii="Arial" w:eastAsia="Times New Roman" w:hAnsi="Arial" w:cs="Arial"/>
                <w:sz w:val="20"/>
                <w:szCs w:val="20"/>
              </w:rPr>
              <w:t>T</w:t>
            </w:r>
            <w:r w:rsidR="00470EE7" w:rsidRPr="00EC1587">
              <w:rPr>
                <w:rFonts w:ascii="Arial" w:eastAsia="Times New Roman" w:hAnsi="Arial" w:cs="Arial"/>
                <w:sz w:val="20"/>
                <w:szCs w:val="20"/>
              </w:rPr>
              <w:t xml:space="preserve">he mean group performance on the </w:t>
            </w:r>
            <w:r w:rsidR="005A5E45" w:rsidRPr="00EC1587">
              <w:rPr>
                <w:rFonts w:ascii="Arial" w:eastAsia="Times New Roman" w:hAnsi="Arial" w:cs="Arial"/>
                <w:sz w:val="20"/>
                <w:szCs w:val="20"/>
              </w:rPr>
              <w:t>WAIS-R</w:t>
            </w:r>
            <w:r w:rsidR="00470EE7" w:rsidRPr="00EC1587">
              <w:rPr>
                <w:rFonts w:ascii="Arial" w:eastAsia="Times New Roman" w:hAnsi="Arial" w:cs="Arial"/>
                <w:sz w:val="20"/>
                <w:szCs w:val="20"/>
              </w:rPr>
              <w:t xml:space="preserve"> Digit Symbol and the Booklet Category Test improved significantly relative to the mean baseline performance. WAIS-R Block Design, VSRT LTS, and NVSRT LTS test results suggested trends toward improved performance relative to baseline, but</w:t>
            </w:r>
            <w:r w:rsidRPr="00EC1587">
              <w:rPr>
                <w:rFonts w:ascii="Arial" w:eastAsia="Times New Roman" w:hAnsi="Arial" w:cs="Arial"/>
                <w:sz w:val="20"/>
                <w:szCs w:val="20"/>
              </w:rPr>
              <w:t xml:space="preserve"> were not sig</w:t>
            </w:r>
            <w:r w:rsidR="00470EE7" w:rsidRPr="00EC1587">
              <w:rPr>
                <w:rFonts w:ascii="Arial" w:eastAsia="Times New Roman" w:hAnsi="Arial" w:cs="Arial"/>
                <w:sz w:val="20"/>
                <w:szCs w:val="20"/>
              </w:rPr>
              <w:t>.</w:t>
            </w:r>
          </w:p>
          <w:p w14:paraId="0302E175" w14:textId="77777777" w:rsidR="0073536B" w:rsidRDefault="009C342B" w:rsidP="00EC1587">
            <w:pPr>
              <w:spacing w:after="0"/>
              <w:ind w:left="144" w:hanging="14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C1587">
              <w:rPr>
                <w:rFonts w:ascii="Arial" w:eastAsia="Times New Roman" w:hAnsi="Arial" w:cs="Arial"/>
                <w:sz w:val="20"/>
                <w:szCs w:val="20"/>
              </w:rPr>
              <w:t>Within-subject analyses: T0 –</w:t>
            </w:r>
            <w:r w:rsidR="005A5E45" w:rsidRPr="00EC1587">
              <w:rPr>
                <w:rFonts w:ascii="Arial" w:eastAsia="Times New Roman" w:hAnsi="Arial" w:cs="Arial"/>
                <w:sz w:val="20"/>
                <w:szCs w:val="20"/>
              </w:rPr>
              <w:t xml:space="preserve"> </w:t>
            </w:r>
            <w:r w:rsidRPr="00EC1587">
              <w:rPr>
                <w:rFonts w:ascii="Arial" w:eastAsia="Times New Roman" w:hAnsi="Arial" w:cs="Arial"/>
                <w:sz w:val="20"/>
                <w:szCs w:val="20"/>
              </w:rPr>
              <w:t>T1</w:t>
            </w:r>
            <w:r w:rsidR="005A5E45" w:rsidRPr="00EC1587">
              <w:rPr>
                <w:rFonts w:ascii="Arial" w:eastAsia="Times New Roman" w:hAnsi="Arial" w:cs="Arial"/>
                <w:sz w:val="20"/>
                <w:szCs w:val="20"/>
              </w:rPr>
              <w:t xml:space="preserve">, 61% of patients demonstrated a decline in cognitive function that exceeded the </w:t>
            </w:r>
            <w:r w:rsidRPr="00EC1587">
              <w:rPr>
                <w:rFonts w:ascii="Arial" w:eastAsia="Times New Roman" w:hAnsi="Arial" w:cs="Arial"/>
                <w:sz w:val="20"/>
                <w:szCs w:val="20"/>
              </w:rPr>
              <w:t>reliable change index</w:t>
            </w:r>
            <w:r w:rsidR="00EC1587" w:rsidRPr="00EC1587">
              <w:rPr>
                <w:rFonts w:ascii="Arial" w:eastAsia="Times New Roman" w:hAnsi="Arial" w:cs="Arial"/>
                <w:sz w:val="20"/>
                <w:szCs w:val="20"/>
              </w:rPr>
              <w:t xml:space="preserve"> (frequency of change in cognitive function from one assessment to the next. The index is derived from the </w:t>
            </w:r>
            <w:r w:rsidR="00EC1587">
              <w:rPr>
                <w:rFonts w:ascii="Arial" w:eastAsia="Times New Roman" w:hAnsi="Arial" w:cs="Arial"/>
                <w:sz w:val="20"/>
                <w:szCs w:val="20"/>
              </w:rPr>
              <w:t>SE</w:t>
            </w:r>
            <w:r w:rsidR="00EC1587" w:rsidRPr="00EC1587">
              <w:rPr>
                <w:rFonts w:ascii="Arial" w:eastAsia="Times New Roman" w:hAnsi="Arial" w:cs="Arial"/>
                <w:sz w:val="20"/>
                <w:szCs w:val="20"/>
              </w:rPr>
              <w:t xml:space="preserve"> of measurement of each test, and it represents the 90% </w:t>
            </w:r>
            <w:r w:rsidR="00EC1587">
              <w:rPr>
                <w:rFonts w:ascii="Arial" w:eastAsia="Times New Roman" w:hAnsi="Arial" w:cs="Arial"/>
                <w:sz w:val="20"/>
                <w:szCs w:val="20"/>
              </w:rPr>
              <w:t>CI</w:t>
            </w:r>
            <w:r w:rsidR="00EC1587" w:rsidRPr="00EC1587">
              <w:rPr>
                <w:rFonts w:ascii="Arial" w:eastAsia="Times New Roman" w:hAnsi="Arial" w:cs="Arial"/>
                <w:sz w:val="20"/>
                <w:szCs w:val="20"/>
              </w:rPr>
              <w:t xml:space="preserve"> for the difference in performance between two evaluations that is expected if no real change has occurred)</w:t>
            </w:r>
            <w:r w:rsidR="005A5E45" w:rsidRPr="00EC1587">
              <w:rPr>
                <w:rFonts w:ascii="Arial" w:eastAsia="Times New Roman" w:hAnsi="Arial" w:cs="Arial"/>
                <w:sz w:val="20"/>
                <w:szCs w:val="20"/>
              </w:rPr>
              <w:t xml:space="preserve">. </w:t>
            </w:r>
            <w:r w:rsidR="00EC1587">
              <w:rPr>
                <w:rFonts w:ascii="Arial" w:eastAsia="Times New Roman" w:hAnsi="Arial" w:cs="Arial"/>
                <w:sz w:val="20"/>
                <w:szCs w:val="20"/>
              </w:rPr>
              <w:t>39%</w:t>
            </w:r>
            <w:r w:rsidR="005A5E45" w:rsidRPr="00EC1587">
              <w:rPr>
                <w:rFonts w:ascii="Arial" w:eastAsia="Times New Roman" w:hAnsi="Arial" w:cs="Arial"/>
                <w:sz w:val="20"/>
                <w:szCs w:val="20"/>
              </w:rPr>
              <w:t xml:space="preserve"> experienced declines in 1 measure, 11% in 2 measures, and 11% in 3 measures. </w:t>
            </w:r>
          </w:p>
          <w:p w14:paraId="020A4B4F" w14:textId="2090008D" w:rsidR="00EC1587" w:rsidRDefault="005A5E45" w:rsidP="00EC1587">
            <w:pPr>
              <w:spacing w:after="0"/>
              <w:ind w:left="144" w:hanging="14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C1587">
              <w:rPr>
                <w:rFonts w:ascii="Arial" w:eastAsia="Times New Roman" w:hAnsi="Arial" w:cs="Arial"/>
                <w:sz w:val="20"/>
                <w:szCs w:val="20"/>
              </w:rPr>
              <w:t>Significant declines in performance were most common for the WAIS-R Digit Span (22%), the WAIS-R Arithmetic (12%), the VSRT LTS (12%), and the Trail A (11%). 6% of patients exhibited declines on the WAIS-R Similarities, the VSRT Delayed Recall (DR), the NVSRT LTS, the NVSRT DR, and the Grooved Pegboard Test</w:t>
            </w:r>
            <w:r w:rsidR="00EC1587">
              <w:rPr>
                <w:rFonts w:ascii="Arial" w:eastAsia="Times New Roman" w:hAnsi="Arial" w:cs="Arial"/>
                <w:sz w:val="20"/>
                <w:szCs w:val="20"/>
              </w:rPr>
              <w:t>.</w:t>
            </w:r>
          </w:p>
          <w:p w14:paraId="16B12022" w14:textId="361F2FD7" w:rsidR="00E63960" w:rsidRPr="00EC1587" w:rsidRDefault="005A5E45" w:rsidP="00EC1587">
            <w:pPr>
              <w:spacing w:after="0"/>
              <w:ind w:left="144" w:hanging="14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C1587">
              <w:rPr>
                <w:rFonts w:ascii="Arial" w:eastAsia="Times New Roman" w:hAnsi="Arial" w:cs="Arial"/>
                <w:sz w:val="20"/>
                <w:szCs w:val="20"/>
              </w:rPr>
              <w:t xml:space="preserve">Of the patients who exhibited cognitive decline at </w:t>
            </w:r>
            <w:r w:rsidR="00EC1587">
              <w:rPr>
                <w:rFonts w:ascii="Arial" w:eastAsia="Times New Roman" w:hAnsi="Arial" w:cs="Arial"/>
                <w:sz w:val="20"/>
                <w:szCs w:val="20"/>
              </w:rPr>
              <w:t>T1</w:t>
            </w:r>
            <w:r w:rsidRPr="00EC1587">
              <w:rPr>
                <w:rFonts w:ascii="Arial" w:eastAsia="Times New Roman" w:hAnsi="Arial" w:cs="Arial"/>
                <w:sz w:val="20"/>
                <w:szCs w:val="20"/>
              </w:rPr>
              <w:t xml:space="preserve">, 45% had stable cognitive function, 45% exhibited improvement, and 10% had a mixed </w:t>
            </w:r>
            <w:r w:rsidRPr="00EC1587">
              <w:rPr>
                <w:rFonts w:ascii="Arial" w:eastAsia="Times New Roman" w:hAnsi="Arial" w:cs="Arial"/>
                <w:sz w:val="20"/>
                <w:szCs w:val="20"/>
              </w:rPr>
              <w:lastRenderedPageBreak/>
              <w:t xml:space="preserve">pattern of results (i.e., improvement on some tests and stabilization on others) at </w:t>
            </w:r>
            <w:r w:rsidR="00EC1587">
              <w:rPr>
                <w:rFonts w:ascii="Arial" w:eastAsia="Times New Roman" w:hAnsi="Arial" w:cs="Arial"/>
                <w:sz w:val="20"/>
                <w:szCs w:val="20"/>
              </w:rPr>
              <w:t>T2</w:t>
            </w:r>
            <w:r w:rsidRPr="00EC1587">
              <w:rPr>
                <w:rFonts w:ascii="Arial" w:eastAsia="Times New Roman" w:hAnsi="Arial" w:cs="Arial"/>
                <w:sz w:val="20"/>
                <w:szCs w:val="20"/>
              </w:rPr>
              <w:t xml:space="preserve">. </w:t>
            </w:r>
          </w:p>
        </w:tc>
      </w:tr>
      <w:tr w:rsidR="00E63960" w:rsidRPr="00866E71" w14:paraId="12FD3E59" w14:textId="77777777" w:rsidTr="00E63960">
        <w:tc>
          <w:tcPr>
            <w:cnfStyle w:val="001000000000" w:firstRow="0" w:lastRow="0" w:firstColumn="1" w:lastColumn="0" w:oddVBand="0" w:evenVBand="0" w:oddHBand="0" w:evenHBand="0" w:firstRowFirstColumn="0" w:firstRowLastColumn="0" w:lastRowFirstColumn="0" w:lastRowLastColumn="0"/>
            <w:tcW w:w="1818" w:type="dxa"/>
            <w:vAlign w:val="center"/>
          </w:tcPr>
          <w:p w14:paraId="153D72A9" w14:textId="68998441" w:rsidR="00E63960" w:rsidRPr="00A2733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lastRenderedPageBreak/>
              <w:t>EN#405</w:t>
            </w:r>
          </w:p>
          <w:p w14:paraId="5C600337" w14:textId="77777777" w:rsidR="00E63960" w:rsidRDefault="00E63960" w:rsidP="008B1C7A">
            <w:pPr>
              <w:spacing w:after="0"/>
              <w:rPr>
                <w:rFonts w:ascii="Arial" w:eastAsia="Times New Roman" w:hAnsi="Arial" w:cs="Arial"/>
                <w:bCs w:val="0"/>
                <w:color w:val="000000"/>
                <w:sz w:val="20"/>
                <w:szCs w:val="20"/>
              </w:rPr>
            </w:pPr>
            <w:r>
              <w:rPr>
                <w:rFonts w:ascii="Arial" w:eastAsia="Times New Roman" w:hAnsi="Arial" w:cs="Arial"/>
                <w:bCs w:val="0"/>
                <w:color w:val="000000"/>
                <w:sz w:val="20"/>
                <w:szCs w:val="20"/>
              </w:rPr>
              <w:t>Tager (2010)</w:t>
            </w:r>
          </w:p>
          <w:p w14:paraId="6A684E10" w14:textId="77777777" w:rsidR="003C3B26" w:rsidRDefault="003C3B26" w:rsidP="008B1C7A">
            <w:pPr>
              <w:spacing w:after="0"/>
              <w:rPr>
                <w:rFonts w:ascii="Arial" w:eastAsia="Times New Roman" w:hAnsi="Arial" w:cs="Arial"/>
                <w:bCs w:val="0"/>
                <w:color w:val="000000"/>
                <w:sz w:val="20"/>
                <w:szCs w:val="20"/>
              </w:rPr>
            </w:pPr>
          </w:p>
          <w:p w14:paraId="71647570" w14:textId="2977D717" w:rsidR="003C3B26" w:rsidRPr="003C3B26" w:rsidRDefault="003C3B26" w:rsidP="008B1C7A">
            <w:pPr>
              <w:spacing w:after="0"/>
              <w:rPr>
                <w:rFonts w:ascii="Arial" w:eastAsia="Times New Roman" w:hAnsi="Arial" w:cs="Arial"/>
                <w:b w:val="0"/>
                <w:bCs w:val="0"/>
                <w:color w:val="000000"/>
                <w:sz w:val="20"/>
                <w:szCs w:val="20"/>
              </w:rPr>
            </w:pPr>
            <w:r>
              <w:rPr>
                <w:rFonts w:ascii="Arial" w:eastAsia="Times New Roman" w:hAnsi="Arial" w:cs="Arial"/>
                <w:b w:val="0"/>
                <w:bCs w:val="0"/>
                <w:color w:val="000000"/>
                <w:sz w:val="20"/>
                <w:szCs w:val="20"/>
              </w:rPr>
              <w:t>Only motor changes</w:t>
            </w:r>
          </w:p>
        </w:tc>
        <w:tc>
          <w:tcPr>
            <w:tcW w:w="12780" w:type="dxa"/>
            <w:tcMar>
              <w:top w:w="43" w:type="dxa"/>
              <w:left w:w="115" w:type="dxa"/>
              <w:bottom w:w="43" w:type="dxa"/>
              <w:right w:w="115" w:type="dxa"/>
            </w:tcMar>
            <w:vAlign w:val="center"/>
          </w:tcPr>
          <w:p w14:paraId="360DA53B" w14:textId="77777777" w:rsidR="00E63960" w:rsidRPr="00E63960" w:rsidRDefault="00E63960" w:rsidP="00E63960">
            <w:pPr>
              <w:spacing w:after="0"/>
              <w:ind w:left="130" w:hanging="13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E63960">
              <w:rPr>
                <w:rFonts w:ascii="Arial" w:eastAsia="Times New Roman" w:hAnsi="Arial" w:cs="Arial"/>
                <w:bCs/>
                <w:sz w:val="20"/>
                <w:szCs w:val="20"/>
              </w:rPr>
              <w:t xml:space="preserve">No difference between groups at baseline </w:t>
            </w:r>
          </w:p>
          <w:p w14:paraId="44889A7B" w14:textId="77777777" w:rsidR="00E63960" w:rsidRPr="00E63960" w:rsidRDefault="00E63960" w:rsidP="00E63960">
            <w:pPr>
              <w:spacing w:after="0"/>
              <w:ind w:left="130" w:hanging="13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
                <w:sz w:val="20"/>
                <w:szCs w:val="20"/>
              </w:rPr>
            </w:pPr>
            <w:r w:rsidRPr="00E63960">
              <w:rPr>
                <w:rFonts w:ascii="Arial" w:eastAsia="Times New Roman" w:hAnsi="Arial" w:cs="Arial"/>
                <w:bCs/>
                <w:i/>
                <w:sz w:val="20"/>
                <w:szCs w:val="20"/>
              </w:rPr>
              <w:t>No changes in any cognitive domains over time</w:t>
            </w:r>
          </w:p>
          <w:p w14:paraId="35FA44CC" w14:textId="479B368D" w:rsidR="00E63960" w:rsidRPr="00E63960" w:rsidRDefault="00E63960" w:rsidP="00E63960">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63960">
              <w:rPr>
                <w:rFonts w:ascii="Arial" w:eastAsia="Times New Roman" w:hAnsi="Arial" w:cs="Arial"/>
                <w:bCs/>
                <w:sz w:val="20"/>
                <w:szCs w:val="20"/>
              </w:rPr>
              <w:t>Decline in motor performance by time in chemo group</w:t>
            </w:r>
          </w:p>
        </w:tc>
      </w:tr>
      <w:tr w:rsidR="00E63960" w:rsidRPr="00866E71" w14:paraId="6DD2F308" w14:textId="77777777" w:rsidTr="00E63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73B23CF0" w14:textId="025FB01E" w:rsidR="00E63960" w:rsidRPr="00A2733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EN#268</w:t>
            </w:r>
          </w:p>
          <w:p w14:paraId="0104A043" w14:textId="77777777" w:rsidR="00E6396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Jenkins (2006)</w:t>
            </w:r>
          </w:p>
          <w:p w14:paraId="2984E0E4" w14:textId="77777777" w:rsidR="00C32C09" w:rsidRDefault="00C32C09" w:rsidP="008B1C7A">
            <w:pPr>
              <w:spacing w:after="0"/>
              <w:rPr>
                <w:rFonts w:ascii="Arial" w:eastAsia="Times New Roman" w:hAnsi="Arial" w:cs="Arial"/>
                <w:bCs w:val="0"/>
                <w:color w:val="000000"/>
                <w:sz w:val="20"/>
                <w:szCs w:val="20"/>
              </w:rPr>
            </w:pPr>
          </w:p>
          <w:p w14:paraId="00B6D4E8" w14:textId="70170742" w:rsidR="002C2332" w:rsidRPr="002C2332" w:rsidRDefault="002C2332" w:rsidP="008B1C7A">
            <w:pPr>
              <w:spacing w:after="0"/>
              <w:rPr>
                <w:rFonts w:ascii="Arial" w:eastAsia="Times New Roman" w:hAnsi="Arial" w:cs="Arial"/>
                <w:b w:val="0"/>
                <w:bCs w:val="0"/>
                <w:color w:val="000000"/>
                <w:sz w:val="20"/>
                <w:szCs w:val="20"/>
              </w:rPr>
            </w:pPr>
            <w:r>
              <w:rPr>
                <w:rFonts w:ascii="Arial" w:eastAsia="Times New Roman" w:hAnsi="Arial" w:cs="Arial"/>
                <w:b w:val="0"/>
                <w:bCs w:val="0"/>
                <w:color w:val="000000"/>
                <w:sz w:val="20"/>
                <w:szCs w:val="20"/>
              </w:rPr>
              <w:t>Not significant decline, improvement over time</w:t>
            </w:r>
          </w:p>
          <w:p w14:paraId="17D8A678" w14:textId="77777777" w:rsidR="00C32C09" w:rsidRPr="00C32C09" w:rsidRDefault="00C32C09" w:rsidP="008B1C7A">
            <w:pPr>
              <w:spacing w:after="0"/>
              <w:rPr>
                <w:rFonts w:ascii="Arial" w:eastAsia="Times New Roman" w:hAnsi="Arial" w:cs="Arial"/>
                <w:b w:val="0"/>
                <w:bCs w:val="0"/>
                <w:color w:val="000000"/>
                <w:sz w:val="20"/>
                <w:szCs w:val="20"/>
              </w:rPr>
            </w:pPr>
          </w:p>
        </w:tc>
        <w:tc>
          <w:tcPr>
            <w:tcW w:w="12780" w:type="dxa"/>
            <w:tcMar>
              <w:top w:w="43" w:type="dxa"/>
              <w:left w:w="115" w:type="dxa"/>
              <w:bottom w:w="43" w:type="dxa"/>
              <w:right w:w="115" w:type="dxa"/>
            </w:tcMar>
            <w:vAlign w:val="center"/>
          </w:tcPr>
          <w:p w14:paraId="6E107A83" w14:textId="77777777" w:rsidR="00E63960" w:rsidRPr="00E63960" w:rsidRDefault="00E63960" w:rsidP="00E63960">
            <w:pPr>
              <w:spacing w:after="0"/>
              <w:ind w:left="130" w:hanging="13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0"/>
                <w:szCs w:val="20"/>
              </w:rPr>
            </w:pPr>
            <w:r w:rsidRPr="00E63960">
              <w:rPr>
                <w:rFonts w:ascii="Arial" w:eastAsia="Times New Roman" w:hAnsi="Arial" w:cs="Arial"/>
                <w:i/>
                <w:sz w:val="20"/>
                <w:szCs w:val="20"/>
              </w:rPr>
              <w:t>No group main effect or time-by-group interaction after controlling for age and IQ at baseline</w:t>
            </w:r>
          </w:p>
          <w:p w14:paraId="0938D4DA" w14:textId="024098C5" w:rsidR="00E63960" w:rsidRPr="00E63960" w:rsidRDefault="00E63960" w:rsidP="00E63960">
            <w:pPr>
              <w:spacing w:after="0"/>
              <w:ind w:left="130" w:hanging="13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63960">
              <w:rPr>
                <w:rFonts w:ascii="Arial" w:eastAsia="Times New Roman" w:hAnsi="Arial" w:cs="Arial"/>
                <w:sz w:val="20"/>
                <w:szCs w:val="20"/>
              </w:rPr>
              <w:t>Reliable decline on ≥2 measures over time by pe</w:t>
            </w:r>
            <w:r w:rsidR="00AC42D5">
              <w:rPr>
                <w:rFonts w:ascii="Arial" w:eastAsia="Times New Roman" w:hAnsi="Arial" w:cs="Arial"/>
                <w:sz w:val="20"/>
                <w:szCs w:val="20"/>
              </w:rPr>
              <w:t>rcent of group   (</w:t>
            </w:r>
            <w:r w:rsidRPr="00E63960">
              <w:rPr>
                <w:rFonts w:ascii="Arial" w:eastAsia="Times New Roman" w:hAnsi="Arial" w:cs="Arial"/>
                <w:sz w:val="20"/>
                <w:szCs w:val="20"/>
              </w:rPr>
              <w:t>T2: ch</w:t>
            </w:r>
            <w:r w:rsidR="00AC42D5">
              <w:rPr>
                <w:rFonts w:ascii="Arial" w:eastAsia="Times New Roman" w:hAnsi="Arial" w:cs="Arial"/>
                <w:sz w:val="20"/>
                <w:szCs w:val="20"/>
              </w:rPr>
              <w:t xml:space="preserve">emo= 20%, control= 26%; </w:t>
            </w:r>
            <w:r w:rsidRPr="00E63960">
              <w:rPr>
                <w:rFonts w:ascii="Arial" w:eastAsia="Times New Roman" w:hAnsi="Arial" w:cs="Arial"/>
                <w:sz w:val="20"/>
                <w:szCs w:val="20"/>
              </w:rPr>
              <w:t>T3: chemo= 18%, control= 14%)</w:t>
            </w:r>
          </w:p>
          <w:p w14:paraId="6D7716FE" w14:textId="644A59FA" w:rsidR="00E63960" w:rsidRPr="00E63960" w:rsidRDefault="00E63960" w:rsidP="00E63960">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960">
              <w:rPr>
                <w:rFonts w:ascii="Arial" w:eastAsia="Times New Roman" w:hAnsi="Arial" w:cs="Arial"/>
                <w:sz w:val="20"/>
                <w:szCs w:val="20"/>
              </w:rPr>
              <w:t>Higher cognitive decline in chemo-induced menopause patients (OR=2.6)</w:t>
            </w:r>
          </w:p>
        </w:tc>
      </w:tr>
      <w:tr w:rsidR="00E63960" w:rsidRPr="00866E71" w14:paraId="0DB3A352" w14:textId="77777777" w:rsidTr="00E63960">
        <w:tc>
          <w:tcPr>
            <w:cnfStyle w:val="001000000000" w:firstRow="0" w:lastRow="0" w:firstColumn="1" w:lastColumn="0" w:oddVBand="0" w:evenVBand="0" w:oddHBand="0" w:evenHBand="0" w:firstRowFirstColumn="0" w:firstRowLastColumn="0" w:lastRowFirstColumn="0" w:lastRowLastColumn="0"/>
            <w:tcW w:w="1818" w:type="dxa"/>
            <w:vAlign w:val="center"/>
          </w:tcPr>
          <w:p w14:paraId="4AE56E9E" w14:textId="0C166576" w:rsidR="00E63960" w:rsidRPr="00A2733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EN#2247</w:t>
            </w:r>
          </w:p>
          <w:p w14:paraId="3E7E52C8" w14:textId="77777777" w:rsidR="00E63960" w:rsidRDefault="00E63960" w:rsidP="008B1C7A">
            <w:pPr>
              <w:spacing w:after="0"/>
              <w:rPr>
                <w:rFonts w:ascii="Arial" w:eastAsia="Times New Roman" w:hAnsi="Arial" w:cs="Arial"/>
                <w:bCs w:val="0"/>
                <w:color w:val="000000"/>
                <w:sz w:val="20"/>
                <w:szCs w:val="20"/>
              </w:rPr>
            </w:pPr>
            <w:r w:rsidRPr="00A27330">
              <w:rPr>
                <w:rFonts w:ascii="Arial" w:eastAsia="Times New Roman" w:hAnsi="Arial" w:cs="Arial"/>
                <w:bCs w:val="0"/>
                <w:color w:val="000000"/>
                <w:sz w:val="20"/>
                <w:szCs w:val="20"/>
              </w:rPr>
              <w:t>Ahles (2010)</w:t>
            </w:r>
          </w:p>
          <w:p w14:paraId="0F3A9A67" w14:textId="77777777" w:rsidR="002C2332" w:rsidRDefault="002C2332" w:rsidP="008B1C7A">
            <w:pPr>
              <w:spacing w:after="0"/>
              <w:rPr>
                <w:rFonts w:ascii="Arial" w:eastAsia="Times New Roman" w:hAnsi="Arial" w:cs="Arial"/>
                <w:bCs w:val="0"/>
                <w:color w:val="000000"/>
                <w:sz w:val="20"/>
                <w:szCs w:val="20"/>
              </w:rPr>
            </w:pPr>
          </w:p>
          <w:p w14:paraId="4BB57A01" w14:textId="77777777" w:rsidR="002C2332" w:rsidRDefault="00E921ED" w:rsidP="00E921ED">
            <w:pPr>
              <w:spacing w:after="0"/>
              <w:rPr>
                <w:rFonts w:ascii="Arial" w:eastAsia="Times New Roman" w:hAnsi="Arial" w:cs="Arial"/>
                <w:b w:val="0"/>
                <w:bCs w:val="0"/>
                <w:color w:val="000000"/>
                <w:sz w:val="20"/>
                <w:szCs w:val="20"/>
              </w:rPr>
            </w:pPr>
            <w:r>
              <w:rPr>
                <w:rFonts w:ascii="Arial" w:eastAsia="Times New Roman" w:hAnsi="Arial" w:cs="Arial"/>
                <w:b w:val="0"/>
                <w:bCs w:val="0"/>
                <w:color w:val="000000"/>
                <w:sz w:val="20"/>
                <w:szCs w:val="20"/>
              </w:rPr>
              <w:t>Age and pretx cognitive reserve are associated with posttx decline in processing speed.</w:t>
            </w:r>
          </w:p>
          <w:p w14:paraId="5ED182DB" w14:textId="4A20FF2D" w:rsidR="00E921ED" w:rsidRPr="002C2332" w:rsidRDefault="00E921ED" w:rsidP="00E921ED">
            <w:pPr>
              <w:spacing w:after="0"/>
              <w:rPr>
                <w:rFonts w:ascii="Arial" w:eastAsia="Times New Roman" w:hAnsi="Arial" w:cs="Arial"/>
                <w:b w:val="0"/>
                <w:bCs w:val="0"/>
                <w:color w:val="000000"/>
                <w:sz w:val="20"/>
                <w:szCs w:val="20"/>
              </w:rPr>
            </w:pPr>
            <w:r>
              <w:rPr>
                <w:rFonts w:ascii="Arial" w:eastAsia="Times New Roman" w:hAnsi="Arial" w:cs="Arial"/>
                <w:b w:val="0"/>
                <w:bCs w:val="0"/>
                <w:color w:val="000000"/>
                <w:sz w:val="20"/>
                <w:szCs w:val="20"/>
              </w:rPr>
              <w:t>Chemo has a short-term effect on verbal ability</w:t>
            </w:r>
          </w:p>
        </w:tc>
        <w:tc>
          <w:tcPr>
            <w:tcW w:w="12780" w:type="dxa"/>
            <w:tcMar>
              <w:top w:w="43" w:type="dxa"/>
              <w:left w:w="115" w:type="dxa"/>
              <w:bottom w:w="43" w:type="dxa"/>
              <w:right w:w="115" w:type="dxa"/>
            </w:tcMar>
            <w:vAlign w:val="center"/>
          </w:tcPr>
          <w:p w14:paraId="746A0AAE" w14:textId="77777777" w:rsidR="00274054" w:rsidRPr="0043103E" w:rsidRDefault="00274054" w:rsidP="0043103E">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3103E">
              <w:rPr>
                <w:rFonts w:ascii="Arial" w:eastAsia="Times New Roman" w:hAnsi="Arial" w:cs="Arial"/>
                <w:sz w:val="20"/>
                <w:szCs w:val="20"/>
              </w:rPr>
              <w:t>Impact of age was investigated</w:t>
            </w:r>
          </w:p>
          <w:p w14:paraId="295795CE" w14:textId="77777777" w:rsidR="00AC42D5" w:rsidRDefault="0043103E" w:rsidP="0043103E">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S</w:t>
            </w:r>
            <w:r w:rsidR="00274054" w:rsidRPr="0043103E">
              <w:rPr>
                <w:rFonts w:ascii="Arial" w:eastAsia="Times New Roman" w:hAnsi="Arial" w:cs="Arial"/>
                <w:sz w:val="20"/>
                <w:szCs w:val="20"/>
              </w:rPr>
              <w:t xml:space="preserve">ignificant time effect </w:t>
            </w:r>
            <w:r>
              <w:rPr>
                <w:rFonts w:ascii="Arial" w:eastAsia="Times New Roman" w:hAnsi="Arial" w:cs="Arial"/>
                <w:sz w:val="20"/>
                <w:szCs w:val="20"/>
              </w:rPr>
              <w:t xml:space="preserve">on </w:t>
            </w:r>
            <w:r w:rsidRPr="0043103E">
              <w:rPr>
                <w:rFonts w:ascii="Arial" w:eastAsia="Times New Roman" w:hAnsi="Arial" w:cs="Arial"/>
                <w:sz w:val="20"/>
                <w:szCs w:val="20"/>
              </w:rPr>
              <w:t>Processing Speed</w:t>
            </w:r>
            <w:r w:rsidR="00274054" w:rsidRPr="0043103E">
              <w:rPr>
                <w:rFonts w:ascii="Arial" w:eastAsia="Times New Roman" w:hAnsi="Arial" w:cs="Arial"/>
                <w:sz w:val="20"/>
                <w:szCs w:val="20"/>
              </w:rPr>
              <w:t xml:space="preserve"> but not a group effect or a time-by-group interaction, which indicated that all groups </w:t>
            </w:r>
            <w:r>
              <w:rPr>
                <w:rFonts w:ascii="Arial" w:eastAsia="Times New Roman" w:hAnsi="Arial" w:cs="Arial"/>
                <w:sz w:val="20"/>
                <w:szCs w:val="20"/>
              </w:rPr>
              <w:t>improved during each assessment</w:t>
            </w:r>
            <w:r w:rsidR="00274054" w:rsidRPr="0043103E">
              <w:rPr>
                <w:rFonts w:ascii="Arial" w:eastAsia="Times New Roman" w:hAnsi="Arial" w:cs="Arial"/>
                <w:sz w:val="20"/>
                <w:szCs w:val="20"/>
              </w:rPr>
              <w:t xml:space="preserve">. </w:t>
            </w:r>
          </w:p>
          <w:p w14:paraId="079E7811" w14:textId="77777777" w:rsidR="007C725C" w:rsidRDefault="00AC42D5" w:rsidP="00727B22">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 xml:space="preserve">The </w:t>
            </w:r>
            <w:r w:rsidR="00274054" w:rsidRPr="0043103E">
              <w:rPr>
                <w:rFonts w:ascii="Arial" w:eastAsia="Times New Roman" w:hAnsi="Arial" w:cs="Arial"/>
                <w:sz w:val="20"/>
                <w:szCs w:val="20"/>
              </w:rPr>
              <w:t xml:space="preserve">older </w:t>
            </w:r>
            <w:r w:rsidR="007C725C">
              <w:rPr>
                <w:rFonts w:ascii="Arial" w:eastAsia="Times New Roman" w:hAnsi="Arial" w:cs="Arial"/>
                <w:sz w:val="20"/>
                <w:szCs w:val="20"/>
              </w:rPr>
              <w:t xml:space="preserve">CX+ </w:t>
            </w:r>
            <w:r w:rsidR="00274054" w:rsidRPr="0043103E">
              <w:rPr>
                <w:rFonts w:ascii="Arial" w:eastAsia="Times New Roman" w:hAnsi="Arial" w:cs="Arial"/>
                <w:sz w:val="20"/>
                <w:szCs w:val="20"/>
              </w:rPr>
              <w:t xml:space="preserve">patients had lower post-treatment Processing Speed performance compared with healthy </w:t>
            </w:r>
            <w:r w:rsidR="007C725C">
              <w:rPr>
                <w:rFonts w:ascii="Arial" w:eastAsia="Times New Roman" w:hAnsi="Arial" w:cs="Arial"/>
                <w:sz w:val="20"/>
                <w:szCs w:val="20"/>
              </w:rPr>
              <w:t>controls and CX-</w:t>
            </w:r>
            <w:r w:rsidR="00274054" w:rsidRPr="0043103E">
              <w:rPr>
                <w:rFonts w:ascii="Arial" w:eastAsia="Times New Roman" w:hAnsi="Arial" w:cs="Arial"/>
                <w:sz w:val="20"/>
                <w:szCs w:val="20"/>
              </w:rPr>
              <w:t xml:space="preserve">. </w:t>
            </w:r>
          </w:p>
          <w:p w14:paraId="5A0F097A" w14:textId="6570E630" w:rsidR="00727B22" w:rsidRDefault="007C725C" w:rsidP="00727B22">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CX+</w:t>
            </w:r>
            <w:r w:rsidR="00274054" w:rsidRPr="0043103E">
              <w:rPr>
                <w:rFonts w:ascii="Arial" w:eastAsia="Times New Roman" w:hAnsi="Arial" w:cs="Arial"/>
                <w:sz w:val="20"/>
                <w:szCs w:val="20"/>
              </w:rPr>
              <w:t xml:space="preserve"> who had lower baseline</w:t>
            </w:r>
            <w:r w:rsidR="00727B22">
              <w:rPr>
                <w:rFonts w:ascii="Arial" w:eastAsia="Times New Roman" w:hAnsi="Arial" w:cs="Arial"/>
                <w:sz w:val="20"/>
                <w:szCs w:val="20"/>
              </w:rPr>
              <w:t xml:space="preserve"> </w:t>
            </w:r>
            <w:r w:rsidR="00274054" w:rsidRPr="0043103E">
              <w:rPr>
                <w:rFonts w:ascii="Arial" w:eastAsia="Times New Roman" w:hAnsi="Arial" w:cs="Arial"/>
                <w:sz w:val="20"/>
                <w:szCs w:val="20"/>
              </w:rPr>
              <w:t xml:space="preserve">WRAT-3 Reading scores had lower post-treatment Processing Speed performance compared with patients not exposed to chemotherapy and healthy controls. </w:t>
            </w:r>
            <w:r>
              <w:rPr>
                <w:rFonts w:ascii="Arial" w:eastAsia="Times New Roman" w:hAnsi="Arial" w:cs="Arial"/>
                <w:sz w:val="20"/>
                <w:szCs w:val="20"/>
              </w:rPr>
              <w:t>No sig difference between CX- and controls</w:t>
            </w:r>
            <w:r w:rsidR="00274054" w:rsidRPr="0043103E">
              <w:rPr>
                <w:rFonts w:ascii="Arial" w:eastAsia="Times New Roman" w:hAnsi="Arial" w:cs="Arial"/>
                <w:sz w:val="20"/>
                <w:szCs w:val="20"/>
              </w:rPr>
              <w:t xml:space="preserve">. </w:t>
            </w:r>
          </w:p>
          <w:p w14:paraId="3A43AF06" w14:textId="21A2C9E5" w:rsidR="00274054" w:rsidRPr="0043103E" w:rsidRDefault="00727B22" w:rsidP="007D2699">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T</w:t>
            </w:r>
            <w:r w:rsidR="00274054" w:rsidRPr="0043103E">
              <w:rPr>
                <w:rFonts w:ascii="Arial" w:eastAsia="Times New Roman" w:hAnsi="Arial" w:cs="Arial"/>
                <w:sz w:val="20"/>
                <w:szCs w:val="20"/>
              </w:rPr>
              <w:t>he older</w:t>
            </w:r>
            <w:r w:rsidR="007C725C">
              <w:rPr>
                <w:rFonts w:ascii="Arial" w:eastAsia="Times New Roman" w:hAnsi="Arial" w:cs="Arial"/>
                <w:sz w:val="20"/>
                <w:szCs w:val="20"/>
              </w:rPr>
              <w:t xml:space="preserve"> CX+</w:t>
            </w:r>
            <w:r w:rsidR="00274054" w:rsidRPr="0043103E">
              <w:rPr>
                <w:rFonts w:ascii="Arial" w:eastAsia="Times New Roman" w:hAnsi="Arial" w:cs="Arial"/>
                <w:sz w:val="20"/>
                <w:szCs w:val="20"/>
              </w:rPr>
              <w:t xml:space="preserve"> patients with lower baseline WRAT-3 Reading scores </w:t>
            </w:r>
            <w:r w:rsidR="007C725C" w:rsidRPr="007C725C">
              <w:rPr>
                <w:rFonts w:ascii="Arial" w:eastAsia="Times New Roman" w:hAnsi="Arial" w:cs="Arial"/>
                <w:sz w:val="20"/>
                <w:szCs w:val="20"/>
              </w:rPr>
              <w:sym w:font="Wingdings" w:char="F0E0"/>
            </w:r>
            <w:r w:rsidR="007C725C">
              <w:rPr>
                <w:rFonts w:ascii="Arial" w:eastAsia="Times New Roman" w:hAnsi="Arial" w:cs="Arial"/>
                <w:sz w:val="20"/>
                <w:szCs w:val="20"/>
              </w:rPr>
              <w:t xml:space="preserve"> </w:t>
            </w:r>
            <w:r w:rsidR="00274054" w:rsidRPr="0043103E">
              <w:rPr>
                <w:rFonts w:ascii="Arial" w:eastAsia="Times New Roman" w:hAnsi="Arial" w:cs="Arial"/>
                <w:sz w:val="20"/>
                <w:szCs w:val="20"/>
              </w:rPr>
              <w:t>decline in adjusted post-treatment scores, whereas most other groups improved.</w:t>
            </w:r>
          </w:p>
          <w:p w14:paraId="0CA14B7E" w14:textId="04111F37" w:rsidR="00665BB5" w:rsidRDefault="007D2699" w:rsidP="0043103E">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O</w:t>
            </w:r>
            <w:r w:rsidR="00274054" w:rsidRPr="0043103E">
              <w:rPr>
                <w:rFonts w:ascii="Arial" w:eastAsia="Times New Roman" w:hAnsi="Arial" w:cs="Arial"/>
                <w:sz w:val="20"/>
                <w:szCs w:val="20"/>
              </w:rPr>
              <w:t xml:space="preserve">ther cognitive domains </w:t>
            </w:r>
            <w:r w:rsidRPr="007D2699">
              <w:rPr>
                <w:rFonts w:ascii="Arial" w:eastAsia="Times New Roman" w:hAnsi="Arial" w:cs="Arial"/>
                <w:sz w:val="20"/>
                <w:szCs w:val="20"/>
              </w:rPr>
              <w:sym w:font="Wingdings" w:char="F0E0"/>
            </w:r>
            <w:r w:rsidR="00274054" w:rsidRPr="0043103E">
              <w:rPr>
                <w:rFonts w:ascii="Arial" w:eastAsia="Times New Roman" w:hAnsi="Arial" w:cs="Arial"/>
                <w:sz w:val="20"/>
                <w:szCs w:val="20"/>
              </w:rPr>
              <w:t xml:space="preserve"> a significant group-by-time interactio</w:t>
            </w:r>
            <w:r w:rsidR="00665BB5">
              <w:rPr>
                <w:rFonts w:ascii="Arial" w:eastAsia="Times New Roman" w:hAnsi="Arial" w:cs="Arial"/>
                <w:sz w:val="20"/>
                <w:szCs w:val="20"/>
              </w:rPr>
              <w:t>n for the Verbal Ability domain</w:t>
            </w:r>
            <w:r w:rsidR="00274054" w:rsidRPr="0043103E">
              <w:rPr>
                <w:rFonts w:ascii="Arial" w:eastAsia="Times New Roman" w:hAnsi="Arial" w:cs="Arial"/>
                <w:sz w:val="20"/>
                <w:szCs w:val="20"/>
              </w:rPr>
              <w:t>.</w:t>
            </w:r>
            <w:r>
              <w:rPr>
                <w:rFonts w:ascii="Arial" w:eastAsia="Times New Roman" w:hAnsi="Arial" w:cs="Arial"/>
                <w:sz w:val="20"/>
                <w:szCs w:val="20"/>
              </w:rPr>
              <w:t xml:space="preserve"> </w:t>
            </w:r>
          </w:p>
          <w:p w14:paraId="797F1977" w14:textId="22D9CDBC" w:rsidR="007D2699" w:rsidRDefault="007D2699" w:rsidP="0043103E">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 xml:space="preserve">CX- </w:t>
            </w:r>
            <w:r w:rsidR="00274054" w:rsidRPr="0043103E">
              <w:rPr>
                <w:rFonts w:ascii="Arial" w:eastAsia="Times New Roman" w:hAnsi="Arial" w:cs="Arial"/>
                <w:sz w:val="20"/>
                <w:szCs w:val="20"/>
              </w:rPr>
              <w:t>and</w:t>
            </w:r>
            <w:r>
              <w:rPr>
                <w:rFonts w:ascii="Arial" w:eastAsia="Times New Roman" w:hAnsi="Arial" w:cs="Arial"/>
                <w:sz w:val="20"/>
                <w:szCs w:val="20"/>
              </w:rPr>
              <w:t xml:space="preserve"> </w:t>
            </w:r>
            <w:r w:rsidR="00274054" w:rsidRPr="0043103E">
              <w:rPr>
                <w:rFonts w:ascii="Arial" w:eastAsia="Times New Roman" w:hAnsi="Arial" w:cs="Arial"/>
                <w:sz w:val="20"/>
                <w:szCs w:val="20"/>
              </w:rPr>
              <w:t>healthy</w:t>
            </w:r>
            <w:r>
              <w:rPr>
                <w:rFonts w:ascii="Arial" w:eastAsia="Times New Roman" w:hAnsi="Arial" w:cs="Arial"/>
                <w:sz w:val="20"/>
                <w:szCs w:val="20"/>
              </w:rPr>
              <w:t xml:space="preserve"> </w:t>
            </w:r>
            <w:r w:rsidR="00274054" w:rsidRPr="0043103E">
              <w:rPr>
                <w:rFonts w:ascii="Arial" w:eastAsia="Times New Roman" w:hAnsi="Arial" w:cs="Arial"/>
                <w:sz w:val="20"/>
                <w:szCs w:val="20"/>
              </w:rPr>
              <w:t>controls</w:t>
            </w:r>
            <w:r>
              <w:rPr>
                <w:rFonts w:ascii="Arial" w:eastAsia="Times New Roman" w:hAnsi="Arial" w:cs="Arial"/>
                <w:sz w:val="20"/>
                <w:szCs w:val="20"/>
              </w:rPr>
              <w:t xml:space="preserve"> </w:t>
            </w:r>
            <w:r w:rsidRPr="007D2699">
              <w:rPr>
                <w:rFonts w:ascii="Arial" w:eastAsia="Times New Roman" w:hAnsi="Arial" w:cs="Arial"/>
                <w:sz w:val="20"/>
                <w:szCs w:val="20"/>
              </w:rPr>
              <w:sym w:font="Wingdings" w:char="F0E0"/>
            </w:r>
            <w:r>
              <w:rPr>
                <w:rFonts w:ascii="Arial" w:eastAsia="Times New Roman" w:hAnsi="Arial" w:cs="Arial"/>
                <w:sz w:val="20"/>
                <w:szCs w:val="20"/>
              </w:rPr>
              <w:t xml:space="preserve"> </w:t>
            </w:r>
            <w:r w:rsidR="00274054" w:rsidRPr="0043103E">
              <w:rPr>
                <w:rFonts w:ascii="Arial" w:eastAsia="Times New Roman" w:hAnsi="Arial" w:cs="Arial"/>
                <w:sz w:val="20"/>
                <w:szCs w:val="20"/>
              </w:rPr>
              <w:t>improved</w:t>
            </w:r>
            <w:r>
              <w:rPr>
                <w:rFonts w:ascii="Arial" w:eastAsia="Times New Roman" w:hAnsi="Arial" w:cs="Arial"/>
                <w:sz w:val="20"/>
                <w:szCs w:val="20"/>
              </w:rPr>
              <w:t xml:space="preserve"> </w:t>
            </w:r>
            <w:r w:rsidR="00274054" w:rsidRPr="0043103E">
              <w:rPr>
                <w:rFonts w:ascii="Arial" w:eastAsia="Times New Roman" w:hAnsi="Arial" w:cs="Arial"/>
                <w:sz w:val="20"/>
                <w:szCs w:val="20"/>
              </w:rPr>
              <w:t>performance</w:t>
            </w:r>
            <w:r>
              <w:rPr>
                <w:rFonts w:ascii="Arial" w:eastAsia="Times New Roman" w:hAnsi="Arial" w:cs="Arial"/>
                <w:sz w:val="20"/>
                <w:szCs w:val="20"/>
              </w:rPr>
              <w:t xml:space="preserve"> </w:t>
            </w:r>
            <w:r w:rsidR="00274054" w:rsidRPr="0043103E">
              <w:rPr>
                <w:rFonts w:ascii="Arial" w:eastAsia="Times New Roman" w:hAnsi="Arial" w:cs="Arial"/>
                <w:sz w:val="20"/>
                <w:szCs w:val="20"/>
              </w:rPr>
              <w:t xml:space="preserve">over time, </w:t>
            </w:r>
            <w:r>
              <w:rPr>
                <w:rFonts w:ascii="Arial" w:eastAsia="Times New Roman" w:hAnsi="Arial" w:cs="Arial"/>
                <w:sz w:val="20"/>
                <w:szCs w:val="20"/>
              </w:rPr>
              <w:t>CX+</w:t>
            </w:r>
            <w:r w:rsidR="00274054" w:rsidRPr="0043103E">
              <w:rPr>
                <w:rFonts w:ascii="Arial" w:eastAsia="Times New Roman" w:hAnsi="Arial" w:cs="Arial"/>
                <w:sz w:val="20"/>
                <w:szCs w:val="20"/>
              </w:rPr>
              <w:t xml:space="preserve"> </w:t>
            </w:r>
            <w:r w:rsidRPr="007D2699">
              <w:rPr>
                <w:rFonts w:ascii="Arial" w:eastAsia="Times New Roman" w:hAnsi="Arial" w:cs="Arial"/>
                <w:sz w:val="20"/>
                <w:szCs w:val="20"/>
              </w:rPr>
              <w:sym w:font="Wingdings" w:char="F0E0"/>
            </w:r>
            <w:r w:rsidR="00274054" w:rsidRPr="0043103E">
              <w:rPr>
                <w:rFonts w:ascii="Arial" w:eastAsia="Times New Roman" w:hAnsi="Arial" w:cs="Arial"/>
                <w:sz w:val="20"/>
                <w:szCs w:val="20"/>
              </w:rPr>
              <w:t xml:space="preserve"> no improvement from </w:t>
            </w:r>
            <w:r>
              <w:rPr>
                <w:rFonts w:ascii="Arial" w:eastAsia="Times New Roman" w:hAnsi="Arial" w:cs="Arial"/>
                <w:sz w:val="20"/>
                <w:szCs w:val="20"/>
              </w:rPr>
              <w:t>T0 -T1</w:t>
            </w:r>
            <w:r w:rsidR="00274054" w:rsidRPr="0043103E">
              <w:rPr>
                <w:rFonts w:ascii="Arial" w:eastAsia="Times New Roman" w:hAnsi="Arial" w:cs="Arial"/>
                <w:sz w:val="20"/>
                <w:szCs w:val="20"/>
              </w:rPr>
              <w:t xml:space="preserve">, which was followed by improvement </w:t>
            </w:r>
            <w:r>
              <w:rPr>
                <w:rFonts w:ascii="Arial" w:eastAsia="Times New Roman" w:hAnsi="Arial" w:cs="Arial"/>
                <w:sz w:val="20"/>
                <w:szCs w:val="20"/>
              </w:rPr>
              <w:t>T2, T3</w:t>
            </w:r>
            <w:r w:rsidR="00274054" w:rsidRPr="0043103E">
              <w:rPr>
                <w:rFonts w:ascii="Arial" w:eastAsia="Times New Roman" w:hAnsi="Arial" w:cs="Arial"/>
                <w:sz w:val="20"/>
                <w:szCs w:val="20"/>
              </w:rPr>
              <w:t xml:space="preserve">. </w:t>
            </w:r>
          </w:p>
          <w:p w14:paraId="5396EF14" w14:textId="1FE725D9" w:rsidR="009233FE" w:rsidRPr="0043103E" w:rsidRDefault="007D2699" w:rsidP="00665BB5">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A</w:t>
            </w:r>
            <w:r w:rsidR="00274054" w:rsidRPr="0043103E">
              <w:rPr>
                <w:rFonts w:ascii="Arial" w:eastAsia="Times New Roman" w:hAnsi="Arial" w:cs="Arial"/>
                <w:sz w:val="20"/>
                <w:szCs w:val="20"/>
              </w:rPr>
              <w:t>ge was significantly related to performance on the Verbal Memory, Visual Memory, Working Memory, and Sorting domains, and</w:t>
            </w:r>
            <w:r>
              <w:rPr>
                <w:rFonts w:ascii="Arial" w:eastAsia="Times New Roman" w:hAnsi="Arial" w:cs="Arial"/>
                <w:sz w:val="20"/>
                <w:szCs w:val="20"/>
              </w:rPr>
              <w:t xml:space="preserve"> </w:t>
            </w:r>
            <w:r w:rsidR="00274054" w:rsidRPr="0043103E">
              <w:rPr>
                <w:rFonts w:ascii="Arial" w:eastAsia="Times New Roman" w:hAnsi="Arial" w:cs="Arial"/>
                <w:sz w:val="20"/>
                <w:szCs w:val="20"/>
              </w:rPr>
              <w:t xml:space="preserve">WRAT-3 was significantly related to performance in the Distractibility domain. </w:t>
            </w:r>
            <w:r>
              <w:rPr>
                <w:rFonts w:ascii="Arial" w:eastAsia="Times New Roman" w:hAnsi="Arial" w:cs="Arial"/>
                <w:sz w:val="20"/>
                <w:szCs w:val="20"/>
              </w:rPr>
              <w:t>N</w:t>
            </w:r>
            <w:r w:rsidR="00274054" w:rsidRPr="0043103E">
              <w:rPr>
                <w:rFonts w:ascii="Arial" w:eastAsia="Times New Roman" w:hAnsi="Arial" w:cs="Arial"/>
                <w:sz w:val="20"/>
                <w:szCs w:val="20"/>
              </w:rPr>
              <w:t>o significant main effects for group or interactions between time, age and/or</w:t>
            </w:r>
            <w:r>
              <w:rPr>
                <w:rFonts w:ascii="Arial" w:eastAsia="Times New Roman" w:hAnsi="Arial" w:cs="Arial"/>
                <w:sz w:val="20"/>
                <w:szCs w:val="20"/>
              </w:rPr>
              <w:t xml:space="preserve"> </w:t>
            </w:r>
            <w:r w:rsidR="00274054" w:rsidRPr="0043103E">
              <w:rPr>
                <w:rFonts w:ascii="Arial" w:eastAsia="Times New Roman" w:hAnsi="Arial" w:cs="Arial"/>
                <w:sz w:val="20"/>
                <w:szCs w:val="20"/>
              </w:rPr>
              <w:t>WRAT-3 and treatment group.</w:t>
            </w:r>
          </w:p>
          <w:p w14:paraId="66CD33C3" w14:textId="77777777" w:rsidR="00665BB5" w:rsidRDefault="009233FE" w:rsidP="00665BB5">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233FE">
              <w:rPr>
                <w:rFonts w:ascii="Arial" w:eastAsia="Times New Roman" w:hAnsi="Arial" w:cs="Arial"/>
                <w:sz w:val="20"/>
                <w:szCs w:val="20"/>
              </w:rPr>
              <w:t xml:space="preserve">Main effects for treatment were found for Processing Speed </w:t>
            </w:r>
            <w:r w:rsidR="00C3326D">
              <w:rPr>
                <w:rFonts w:ascii="Arial" w:eastAsia="Times New Roman" w:hAnsi="Arial" w:cs="Arial"/>
                <w:sz w:val="20"/>
                <w:szCs w:val="20"/>
              </w:rPr>
              <w:t>and Verbal Memory</w:t>
            </w:r>
            <w:r w:rsidRPr="009233FE">
              <w:rPr>
                <w:rFonts w:ascii="Arial" w:eastAsia="Times New Roman" w:hAnsi="Arial" w:cs="Arial"/>
                <w:sz w:val="20"/>
                <w:szCs w:val="20"/>
              </w:rPr>
              <w:t xml:space="preserve"> with a trend for the Verbal Ability. </w:t>
            </w:r>
            <w:r w:rsidR="00665BB5">
              <w:rPr>
                <w:rFonts w:ascii="Arial" w:eastAsia="Times New Roman" w:hAnsi="Arial" w:cs="Arial"/>
                <w:sz w:val="20"/>
                <w:szCs w:val="20"/>
              </w:rPr>
              <w:t>The</w:t>
            </w:r>
            <w:r w:rsidRPr="009233FE">
              <w:rPr>
                <w:rFonts w:ascii="Arial" w:eastAsia="Times New Roman" w:hAnsi="Arial" w:cs="Arial"/>
                <w:sz w:val="20"/>
                <w:szCs w:val="20"/>
              </w:rPr>
              <w:t xml:space="preserve"> patients treated with tamoxifen performed worse than healthy controls, whereas the performance of patients not treated with tamoxifen did not differ significantly from controls. In no instance did the patients treated and not treated with tamoxifen differ. </w:t>
            </w:r>
          </w:p>
          <w:p w14:paraId="605EA6A2" w14:textId="32328C93" w:rsidR="009233FE" w:rsidRPr="0043103E" w:rsidRDefault="00C3326D" w:rsidP="00665BB5">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N</w:t>
            </w:r>
            <w:r w:rsidR="009233FE" w:rsidRPr="009233FE">
              <w:rPr>
                <w:rFonts w:ascii="Arial" w:eastAsia="Times New Roman" w:hAnsi="Arial" w:cs="Arial"/>
                <w:sz w:val="20"/>
                <w:szCs w:val="20"/>
              </w:rPr>
              <w:t xml:space="preserve">o main effects or interactions </w:t>
            </w:r>
            <w:r w:rsidR="00665BB5">
              <w:rPr>
                <w:rFonts w:ascii="Arial" w:eastAsia="Times New Roman" w:hAnsi="Arial" w:cs="Arial"/>
                <w:sz w:val="20"/>
                <w:szCs w:val="20"/>
              </w:rPr>
              <w:t>with</w:t>
            </w:r>
            <w:r>
              <w:rPr>
                <w:rFonts w:ascii="Arial" w:eastAsia="Times New Roman" w:hAnsi="Arial" w:cs="Arial"/>
                <w:sz w:val="20"/>
                <w:szCs w:val="20"/>
              </w:rPr>
              <w:t xml:space="preserve"> baseline </w:t>
            </w:r>
            <w:r w:rsidR="009233FE" w:rsidRPr="009233FE">
              <w:rPr>
                <w:rFonts w:ascii="Arial" w:eastAsia="Times New Roman" w:hAnsi="Arial" w:cs="Arial"/>
                <w:sz w:val="20"/>
                <w:szCs w:val="20"/>
              </w:rPr>
              <w:t>menopausal status or change in</w:t>
            </w:r>
            <w:r>
              <w:rPr>
                <w:rFonts w:ascii="Arial" w:eastAsia="Times New Roman" w:hAnsi="Arial" w:cs="Arial"/>
                <w:sz w:val="20"/>
                <w:szCs w:val="20"/>
              </w:rPr>
              <w:t xml:space="preserve"> </w:t>
            </w:r>
            <w:r w:rsidR="009233FE" w:rsidRPr="009233FE">
              <w:rPr>
                <w:rFonts w:ascii="Arial" w:eastAsia="Times New Roman" w:hAnsi="Arial" w:cs="Arial"/>
                <w:sz w:val="20"/>
                <w:szCs w:val="20"/>
              </w:rPr>
              <w:t xml:space="preserve">menopausal status. </w:t>
            </w:r>
          </w:p>
          <w:p w14:paraId="575267DF" w14:textId="5847AC62" w:rsidR="0043103E" w:rsidRPr="0043103E" w:rsidRDefault="0043103E" w:rsidP="0043103E">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3103E">
              <w:rPr>
                <w:rFonts w:ascii="Arial" w:eastAsia="Times New Roman" w:hAnsi="Arial" w:cs="Arial"/>
                <w:sz w:val="20"/>
                <w:szCs w:val="20"/>
              </w:rPr>
              <w:t>Self-reported cognitive function</w:t>
            </w:r>
            <w:r w:rsidR="00665BB5">
              <w:rPr>
                <w:rFonts w:ascii="Arial" w:eastAsia="Times New Roman" w:hAnsi="Arial" w:cs="Arial"/>
                <w:sz w:val="20"/>
                <w:szCs w:val="20"/>
              </w:rPr>
              <w:t>:</w:t>
            </w:r>
          </w:p>
          <w:p w14:paraId="2695F522" w14:textId="0149EF02" w:rsidR="00E63960" w:rsidRPr="007D2699" w:rsidRDefault="007D2699" w:rsidP="007D2699">
            <w:pPr>
              <w:spacing w:after="0"/>
              <w:ind w:left="144" w:hanging="14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T</w:t>
            </w:r>
            <w:r w:rsidR="0043103E" w:rsidRPr="0043103E">
              <w:rPr>
                <w:rFonts w:ascii="Arial" w:eastAsia="Times New Roman" w:hAnsi="Arial" w:cs="Arial"/>
                <w:sz w:val="20"/>
                <w:szCs w:val="20"/>
              </w:rPr>
              <w:t>he increase in cognitive symptoms</w:t>
            </w:r>
            <w:r>
              <w:rPr>
                <w:rFonts w:ascii="Arial" w:eastAsia="Times New Roman" w:hAnsi="Arial" w:cs="Arial"/>
                <w:sz w:val="20"/>
                <w:szCs w:val="20"/>
              </w:rPr>
              <w:t xml:space="preserve"> </w:t>
            </w:r>
            <w:r w:rsidR="0043103E" w:rsidRPr="0043103E">
              <w:rPr>
                <w:rFonts w:ascii="Arial" w:eastAsia="Times New Roman" w:hAnsi="Arial" w:cs="Arial"/>
                <w:sz w:val="20"/>
                <w:szCs w:val="20"/>
              </w:rPr>
              <w:t xml:space="preserve">from </w:t>
            </w:r>
            <w:r>
              <w:rPr>
                <w:rFonts w:ascii="Arial" w:eastAsia="Times New Roman" w:hAnsi="Arial" w:cs="Arial"/>
                <w:sz w:val="20"/>
                <w:szCs w:val="20"/>
              </w:rPr>
              <w:t>T0</w:t>
            </w:r>
            <w:r w:rsidR="0043103E" w:rsidRPr="0043103E">
              <w:rPr>
                <w:rFonts w:ascii="Arial" w:eastAsia="Times New Roman" w:hAnsi="Arial" w:cs="Arial"/>
                <w:sz w:val="20"/>
                <w:szCs w:val="20"/>
              </w:rPr>
              <w:t xml:space="preserve"> was significantly greater for the </w:t>
            </w:r>
            <w:r>
              <w:rPr>
                <w:rFonts w:ascii="Arial" w:eastAsia="Times New Roman" w:hAnsi="Arial" w:cs="Arial"/>
                <w:sz w:val="20"/>
                <w:szCs w:val="20"/>
              </w:rPr>
              <w:t>CX+</w:t>
            </w:r>
            <w:r w:rsidR="0043103E" w:rsidRPr="0043103E">
              <w:rPr>
                <w:rFonts w:ascii="Arial" w:eastAsia="Times New Roman" w:hAnsi="Arial" w:cs="Arial"/>
                <w:sz w:val="20"/>
                <w:szCs w:val="20"/>
              </w:rPr>
              <w:t xml:space="preserve"> group compared with the </w:t>
            </w:r>
            <w:r>
              <w:rPr>
                <w:rFonts w:ascii="Arial" w:eastAsia="Times New Roman" w:hAnsi="Arial" w:cs="Arial"/>
                <w:sz w:val="20"/>
                <w:szCs w:val="20"/>
              </w:rPr>
              <w:t>CX-</w:t>
            </w:r>
            <w:r w:rsidR="0043103E" w:rsidRPr="0043103E">
              <w:rPr>
                <w:rFonts w:ascii="Arial" w:eastAsia="Times New Roman" w:hAnsi="Arial" w:cs="Arial"/>
                <w:sz w:val="20"/>
                <w:szCs w:val="20"/>
              </w:rPr>
              <w:t xml:space="preserve"> group and healthy controls, which did not differ from each other.</w:t>
            </w:r>
          </w:p>
        </w:tc>
      </w:tr>
    </w:tbl>
    <w:p w14:paraId="3F8D36F6" w14:textId="4D413174" w:rsidR="00565CF5" w:rsidRDefault="00565CF5"/>
    <w:sectPr w:rsidR="00565CF5" w:rsidSect="00841550">
      <w:footerReference w:type="even"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1B0F2" w14:textId="77777777" w:rsidR="000F01C3" w:rsidRDefault="000F01C3" w:rsidP="000F01C3">
      <w:pPr>
        <w:spacing w:after="0" w:line="240" w:lineRule="auto"/>
      </w:pPr>
      <w:r>
        <w:separator/>
      </w:r>
    </w:p>
  </w:endnote>
  <w:endnote w:type="continuationSeparator" w:id="0">
    <w:p w14:paraId="06B2CF96" w14:textId="77777777" w:rsidR="000F01C3" w:rsidRDefault="000F01C3" w:rsidP="000F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A77F3" w14:textId="77777777" w:rsidR="000F01C3" w:rsidRDefault="000F01C3" w:rsidP="000016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F158D" w14:textId="77777777" w:rsidR="000F01C3" w:rsidRDefault="000F01C3" w:rsidP="000F01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C62D" w14:textId="77777777" w:rsidR="000F01C3" w:rsidRDefault="000F01C3" w:rsidP="000016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AD8622" w14:textId="77777777" w:rsidR="000F01C3" w:rsidRDefault="000F01C3" w:rsidP="000F01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C74B0" w14:textId="77777777" w:rsidR="000F01C3" w:rsidRDefault="000F01C3" w:rsidP="000F01C3">
      <w:pPr>
        <w:spacing w:after="0" w:line="240" w:lineRule="auto"/>
      </w:pPr>
      <w:r>
        <w:separator/>
      </w:r>
    </w:p>
  </w:footnote>
  <w:footnote w:type="continuationSeparator" w:id="0">
    <w:p w14:paraId="59791E41" w14:textId="77777777" w:rsidR="000F01C3" w:rsidRDefault="000F01C3" w:rsidP="000F01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2304"/>
    <w:multiLevelType w:val="hybridMultilevel"/>
    <w:tmpl w:val="8D0EE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C24A49"/>
    <w:multiLevelType w:val="hybridMultilevel"/>
    <w:tmpl w:val="D84C6166"/>
    <w:lvl w:ilvl="0" w:tplc="95B6F792">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A3EED"/>
    <w:multiLevelType w:val="multilevel"/>
    <w:tmpl w:val="9D90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550"/>
    <w:rsid w:val="000238A2"/>
    <w:rsid w:val="000F01C3"/>
    <w:rsid w:val="00172BCE"/>
    <w:rsid w:val="001B3384"/>
    <w:rsid w:val="00274054"/>
    <w:rsid w:val="002C2332"/>
    <w:rsid w:val="00303A22"/>
    <w:rsid w:val="003C3B26"/>
    <w:rsid w:val="003C782C"/>
    <w:rsid w:val="0043103E"/>
    <w:rsid w:val="00470EE7"/>
    <w:rsid w:val="00472FFC"/>
    <w:rsid w:val="00565CF5"/>
    <w:rsid w:val="005A5E45"/>
    <w:rsid w:val="00665BB5"/>
    <w:rsid w:val="00727B22"/>
    <w:rsid w:val="0073536B"/>
    <w:rsid w:val="007438DC"/>
    <w:rsid w:val="007C725C"/>
    <w:rsid w:val="007D2699"/>
    <w:rsid w:val="00830618"/>
    <w:rsid w:val="00841550"/>
    <w:rsid w:val="008B1C7A"/>
    <w:rsid w:val="009233FE"/>
    <w:rsid w:val="0094406D"/>
    <w:rsid w:val="00975720"/>
    <w:rsid w:val="009C342B"/>
    <w:rsid w:val="009F50A7"/>
    <w:rsid w:val="00A1650E"/>
    <w:rsid w:val="00A27330"/>
    <w:rsid w:val="00AC42D5"/>
    <w:rsid w:val="00BD7624"/>
    <w:rsid w:val="00BF0065"/>
    <w:rsid w:val="00C32C09"/>
    <w:rsid w:val="00C3326D"/>
    <w:rsid w:val="00CC51B7"/>
    <w:rsid w:val="00D26FF5"/>
    <w:rsid w:val="00E63960"/>
    <w:rsid w:val="00E921ED"/>
    <w:rsid w:val="00EB436B"/>
    <w:rsid w:val="00EC1587"/>
    <w:rsid w:val="00F02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EBAE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55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841550"/>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41550"/>
    <w:pPr>
      <w:ind w:left="720"/>
      <w:contextualSpacing/>
    </w:pPr>
  </w:style>
  <w:style w:type="paragraph" w:styleId="Footer">
    <w:name w:val="footer"/>
    <w:basedOn w:val="Normal"/>
    <w:link w:val="FooterChar"/>
    <w:uiPriority w:val="99"/>
    <w:unhideWhenUsed/>
    <w:rsid w:val="000F01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01C3"/>
    <w:rPr>
      <w:rFonts w:eastAsiaTheme="minorHAnsi"/>
      <w:sz w:val="22"/>
      <w:szCs w:val="22"/>
    </w:rPr>
  </w:style>
  <w:style w:type="character" w:styleId="PageNumber">
    <w:name w:val="page number"/>
    <w:basedOn w:val="DefaultParagraphFont"/>
    <w:uiPriority w:val="99"/>
    <w:semiHidden/>
    <w:unhideWhenUsed/>
    <w:rsid w:val="000F01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55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841550"/>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41550"/>
    <w:pPr>
      <w:ind w:left="720"/>
      <w:contextualSpacing/>
    </w:pPr>
  </w:style>
  <w:style w:type="paragraph" w:styleId="Footer">
    <w:name w:val="footer"/>
    <w:basedOn w:val="Normal"/>
    <w:link w:val="FooterChar"/>
    <w:uiPriority w:val="99"/>
    <w:unhideWhenUsed/>
    <w:rsid w:val="000F01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01C3"/>
    <w:rPr>
      <w:rFonts w:eastAsiaTheme="minorHAnsi"/>
      <w:sz w:val="22"/>
      <w:szCs w:val="22"/>
    </w:rPr>
  </w:style>
  <w:style w:type="character" w:styleId="PageNumber">
    <w:name w:val="page number"/>
    <w:basedOn w:val="DefaultParagraphFont"/>
    <w:uiPriority w:val="99"/>
    <w:semiHidden/>
    <w:unhideWhenUsed/>
    <w:rsid w:val="000F0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8994">
      <w:bodyDiv w:val="1"/>
      <w:marLeft w:val="0"/>
      <w:marRight w:val="0"/>
      <w:marTop w:val="0"/>
      <w:marBottom w:val="0"/>
      <w:divBdr>
        <w:top w:val="none" w:sz="0" w:space="0" w:color="auto"/>
        <w:left w:val="none" w:sz="0" w:space="0" w:color="auto"/>
        <w:bottom w:val="none" w:sz="0" w:space="0" w:color="auto"/>
        <w:right w:val="none" w:sz="0" w:space="0" w:color="auto"/>
      </w:divBdr>
    </w:div>
    <w:div w:id="172452439">
      <w:bodyDiv w:val="1"/>
      <w:marLeft w:val="0"/>
      <w:marRight w:val="0"/>
      <w:marTop w:val="0"/>
      <w:marBottom w:val="0"/>
      <w:divBdr>
        <w:top w:val="none" w:sz="0" w:space="0" w:color="auto"/>
        <w:left w:val="none" w:sz="0" w:space="0" w:color="auto"/>
        <w:bottom w:val="none" w:sz="0" w:space="0" w:color="auto"/>
        <w:right w:val="none" w:sz="0" w:space="0" w:color="auto"/>
      </w:divBdr>
    </w:div>
    <w:div w:id="228734713">
      <w:bodyDiv w:val="1"/>
      <w:marLeft w:val="0"/>
      <w:marRight w:val="0"/>
      <w:marTop w:val="0"/>
      <w:marBottom w:val="0"/>
      <w:divBdr>
        <w:top w:val="none" w:sz="0" w:space="0" w:color="auto"/>
        <w:left w:val="none" w:sz="0" w:space="0" w:color="auto"/>
        <w:bottom w:val="none" w:sz="0" w:space="0" w:color="auto"/>
        <w:right w:val="none" w:sz="0" w:space="0" w:color="auto"/>
      </w:divBdr>
    </w:div>
    <w:div w:id="352464012">
      <w:bodyDiv w:val="1"/>
      <w:marLeft w:val="0"/>
      <w:marRight w:val="0"/>
      <w:marTop w:val="0"/>
      <w:marBottom w:val="0"/>
      <w:divBdr>
        <w:top w:val="none" w:sz="0" w:space="0" w:color="auto"/>
        <w:left w:val="none" w:sz="0" w:space="0" w:color="auto"/>
        <w:bottom w:val="none" w:sz="0" w:space="0" w:color="auto"/>
        <w:right w:val="none" w:sz="0" w:space="0" w:color="auto"/>
      </w:divBdr>
    </w:div>
    <w:div w:id="492839006">
      <w:bodyDiv w:val="1"/>
      <w:marLeft w:val="0"/>
      <w:marRight w:val="0"/>
      <w:marTop w:val="0"/>
      <w:marBottom w:val="0"/>
      <w:divBdr>
        <w:top w:val="none" w:sz="0" w:space="0" w:color="auto"/>
        <w:left w:val="none" w:sz="0" w:space="0" w:color="auto"/>
        <w:bottom w:val="none" w:sz="0" w:space="0" w:color="auto"/>
        <w:right w:val="none" w:sz="0" w:space="0" w:color="auto"/>
      </w:divBdr>
    </w:div>
    <w:div w:id="530534640">
      <w:bodyDiv w:val="1"/>
      <w:marLeft w:val="0"/>
      <w:marRight w:val="0"/>
      <w:marTop w:val="0"/>
      <w:marBottom w:val="0"/>
      <w:divBdr>
        <w:top w:val="none" w:sz="0" w:space="0" w:color="auto"/>
        <w:left w:val="none" w:sz="0" w:space="0" w:color="auto"/>
        <w:bottom w:val="none" w:sz="0" w:space="0" w:color="auto"/>
        <w:right w:val="none" w:sz="0" w:space="0" w:color="auto"/>
      </w:divBdr>
    </w:div>
    <w:div w:id="821580917">
      <w:bodyDiv w:val="1"/>
      <w:marLeft w:val="0"/>
      <w:marRight w:val="0"/>
      <w:marTop w:val="0"/>
      <w:marBottom w:val="0"/>
      <w:divBdr>
        <w:top w:val="none" w:sz="0" w:space="0" w:color="auto"/>
        <w:left w:val="none" w:sz="0" w:space="0" w:color="auto"/>
        <w:bottom w:val="none" w:sz="0" w:space="0" w:color="auto"/>
        <w:right w:val="none" w:sz="0" w:space="0" w:color="auto"/>
      </w:divBdr>
    </w:div>
    <w:div w:id="829907479">
      <w:bodyDiv w:val="1"/>
      <w:marLeft w:val="0"/>
      <w:marRight w:val="0"/>
      <w:marTop w:val="0"/>
      <w:marBottom w:val="0"/>
      <w:divBdr>
        <w:top w:val="none" w:sz="0" w:space="0" w:color="auto"/>
        <w:left w:val="none" w:sz="0" w:space="0" w:color="auto"/>
        <w:bottom w:val="none" w:sz="0" w:space="0" w:color="auto"/>
        <w:right w:val="none" w:sz="0" w:space="0" w:color="auto"/>
      </w:divBdr>
    </w:div>
    <w:div w:id="864682430">
      <w:bodyDiv w:val="1"/>
      <w:marLeft w:val="0"/>
      <w:marRight w:val="0"/>
      <w:marTop w:val="0"/>
      <w:marBottom w:val="0"/>
      <w:divBdr>
        <w:top w:val="none" w:sz="0" w:space="0" w:color="auto"/>
        <w:left w:val="none" w:sz="0" w:space="0" w:color="auto"/>
        <w:bottom w:val="none" w:sz="0" w:space="0" w:color="auto"/>
        <w:right w:val="none" w:sz="0" w:space="0" w:color="auto"/>
      </w:divBdr>
    </w:div>
    <w:div w:id="891773248">
      <w:bodyDiv w:val="1"/>
      <w:marLeft w:val="0"/>
      <w:marRight w:val="0"/>
      <w:marTop w:val="0"/>
      <w:marBottom w:val="0"/>
      <w:divBdr>
        <w:top w:val="none" w:sz="0" w:space="0" w:color="auto"/>
        <w:left w:val="none" w:sz="0" w:space="0" w:color="auto"/>
        <w:bottom w:val="none" w:sz="0" w:space="0" w:color="auto"/>
        <w:right w:val="none" w:sz="0" w:space="0" w:color="auto"/>
      </w:divBdr>
    </w:div>
    <w:div w:id="968166464">
      <w:bodyDiv w:val="1"/>
      <w:marLeft w:val="0"/>
      <w:marRight w:val="0"/>
      <w:marTop w:val="0"/>
      <w:marBottom w:val="0"/>
      <w:divBdr>
        <w:top w:val="none" w:sz="0" w:space="0" w:color="auto"/>
        <w:left w:val="none" w:sz="0" w:space="0" w:color="auto"/>
        <w:bottom w:val="none" w:sz="0" w:space="0" w:color="auto"/>
        <w:right w:val="none" w:sz="0" w:space="0" w:color="auto"/>
      </w:divBdr>
    </w:div>
    <w:div w:id="1056053823">
      <w:bodyDiv w:val="1"/>
      <w:marLeft w:val="0"/>
      <w:marRight w:val="0"/>
      <w:marTop w:val="0"/>
      <w:marBottom w:val="0"/>
      <w:divBdr>
        <w:top w:val="none" w:sz="0" w:space="0" w:color="auto"/>
        <w:left w:val="none" w:sz="0" w:space="0" w:color="auto"/>
        <w:bottom w:val="none" w:sz="0" w:space="0" w:color="auto"/>
        <w:right w:val="none" w:sz="0" w:space="0" w:color="auto"/>
      </w:divBdr>
    </w:div>
    <w:div w:id="1193688871">
      <w:bodyDiv w:val="1"/>
      <w:marLeft w:val="0"/>
      <w:marRight w:val="0"/>
      <w:marTop w:val="0"/>
      <w:marBottom w:val="0"/>
      <w:divBdr>
        <w:top w:val="none" w:sz="0" w:space="0" w:color="auto"/>
        <w:left w:val="none" w:sz="0" w:space="0" w:color="auto"/>
        <w:bottom w:val="none" w:sz="0" w:space="0" w:color="auto"/>
        <w:right w:val="none" w:sz="0" w:space="0" w:color="auto"/>
      </w:divBdr>
    </w:div>
    <w:div w:id="1209293327">
      <w:bodyDiv w:val="1"/>
      <w:marLeft w:val="0"/>
      <w:marRight w:val="0"/>
      <w:marTop w:val="0"/>
      <w:marBottom w:val="0"/>
      <w:divBdr>
        <w:top w:val="none" w:sz="0" w:space="0" w:color="auto"/>
        <w:left w:val="none" w:sz="0" w:space="0" w:color="auto"/>
        <w:bottom w:val="none" w:sz="0" w:space="0" w:color="auto"/>
        <w:right w:val="none" w:sz="0" w:space="0" w:color="auto"/>
      </w:divBdr>
    </w:div>
    <w:div w:id="1412389988">
      <w:bodyDiv w:val="1"/>
      <w:marLeft w:val="0"/>
      <w:marRight w:val="0"/>
      <w:marTop w:val="0"/>
      <w:marBottom w:val="0"/>
      <w:divBdr>
        <w:top w:val="none" w:sz="0" w:space="0" w:color="auto"/>
        <w:left w:val="none" w:sz="0" w:space="0" w:color="auto"/>
        <w:bottom w:val="none" w:sz="0" w:space="0" w:color="auto"/>
        <w:right w:val="none" w:sz="0" w:space="0" w:color="auto"/>
      </w:divBdr>
    </w:div>
    <w:div w:id="1543051745">
      <w:bodyDiv w:val="1"/>
      <w:marLeft w:val="0"/>
      <w:marRight w:val="0"/>
      <w:marTop w:val="0"/>
      <w:marBottom w:val="0"/>
      <w:divBdr>
        <w:top w:val="none" w:sz="0" w:space="0" w:color="auto"/>
        <w:left w:val="none" w:sz="0" w:space="0" w:color="auto"/>
        <w:bottom w:val="none" w:sz="0" w:space="0" w:color="auto"/>
        <w:right w:val="none" w:sz="0" w:space="0" w:color="auto"/>
      </w:divBdr>
    </w:div>
    <w:div w:id="1635213233">
      <w:bodyDiv w:val="1"/>
      <w:marLeft w:val="0"/>
      <w:marRight w:val="0"/>
      <w:marTop w:val="0"/>
      <w:marBottom w:val="0"/>
      <w:divBdr>
        <w:top w:val="none" w:sz="0" w:space="0" w:color="auto"/>
        <w:left w:val="none" w:sz="0" w:space="0" w:color="auto"/>
        <w:bottom w:val="none" w:sz="0" w:space="0" w:color="auto"/>
        <w:right w:val="none" w:sz="0" w:space="0" w:color="auto"/>
      </w:divBdr>
    </w:div>
    <w:div w:id="1662733329">
      <w:bodyDiv w:val="1"/>
      <w:marLeft w:val="0"/>
      <w:marRight w:val="0"/>
      <w:marTop w:val="0"/>
      <w:marBottom w:val="0"/>
      <w:divBdr>
        <w:top w:val="none" w:sz="0" w:space="0" w:color="auto"/>
        <w:left w:val="none" w:sz="0" w:space="0" w:color="auto"/>
        <w:bottom w:val="none" w:sz="0" w:space="0" w:color="auto"/>
        <w:right w:val="none" w:sz="0" w:space="0" w:color="auto"/>
      </w:divBdr>
    </w:div>
    <w:div w:id="1702895553">
      <w:bodyDiv w:val="1"/>
      <w:marLeft w:val="0"/>
      <w:marRight w:val="0"/>
      <w:marTop w:val="0"/>
      <w:marBottom w:val="0"/>
      <w:divBdr>
        <w:top w:val="none" w:sz="0" w:space="0" w:color="auto"/>
        <w:left w:val="none" w:sz="0" w:space="0" w:color="auto"/>
        <w:bottom w:val="none" w:sz="0" w:space="0" w:color="auto"/>
        <w:right w:val="none" w:sz="0" w:space="0" w:color="auto"/>
      </w:divBdr>
    </w:div>
    <w:div w:id="1816144883">
      <w:bodyDiv w:val="1"/>
      <w:marLeft w:val="0"/>
      <w:marRight w:val="0"/>
      <w:marTop w:val="0"/>
      <w:marBottom w:val="0"/>
      <w:divBdr>
        <w:top w:val="none" w:sz="0" w:space="0" w:color="auto"/>
        <w:left w:val="none" w:sz="0" w:space="0" w:color="auto"/>
        <w:bottom w:val="none" w:sz="0" w:space="0" w:color="auto"/>
        <w:right w:val="none" w:sz="0" w:space="0" w:color="auto"/>
      </w:divBdr>
    </w:div>
    <w:div w:id="1876111358">
      <w:bodyDiv w:val="1"/>
      <w:marLeft w:val="0"/>
      <w:marRight w:val="0"/>
      <w:marTop w:val="0"/>
      <w:marBottom w:val="0"/>
      <w:divBdr>
        <w:top w:val="none" w:sz="0" w:space="0" w:color="auto"/>
        <w:left w:val="none" w:sz="0" w:space="0" w:color="auto"/>
        <w:bottom w:val="none" w:sz="0" w:space="0" w:color="auto"/>
        <w:right w:val="none" w:sz="0" w:space="0" w:color="auto"/>
      </w:divBdr>
    </w:div>
    <w:div w:id="1988783135">
      <w:bodyDiv w:val="1"/>
      <w:marLeft w:val="0"/>
      <w:marRight w:val="0"/>
      <w:marTop w:val="0"/>
      <w:marBottom w:val="0"/>
      <w:divBdr>
        <w:top w:val="none" w:sz="0" w:space="0" w:color="auto"/>
        <w:left w:val="none" w:sz="0" w:space="0" w:color="auto"/>
        <w:bottom w:val="none" w:sz="0" w:space="0" w:color="auto"/>
        <w:right w:val="none" w:sz="0" w:space="0" w:color="auto"/>
      </w:divBdr>
    </w:div>
    <w:div w:id="2130200826">
      <w:bodyDiv w:val="1"/>
      <w:marLeft w:val="0"/>
      <w:marRight w:val="0"/>
      <w:marTop w:val="0"/>
      <w:marBottom w:val="0"/>
      <w:divBdr>
        <w:top w:val="none" w:sz="0" w:space="0" w:color="auto"/>
        <w:left w:val="none" w:sz="0" w:space="0" w:color="auto"/>
        <w:bottom w:val="none" w:sz="0" w:space="0" w:color="auto"/>
        <w:right w:val="none" w:sz="0" w:space="0" w:color="auto"/>
      </w:divBdr>
    </w:div>
    <w:div w:id="2133012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925</Words>
  <Characters>5273</Characters>
  <Application>Microsoft Macintosh Word</Application>
  <DocSecurity>0</DocSecurity>
  <Lines>43</Lines>
  <Paragraphs>12</Paragraphs>
  <ScaleCrop>false</ScaleCrop>
  <Company>DHS</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Tezcan</dc:creator>
  <cp:keywords/>
  <dc:description/>
  <cp:lastModifiedBy>Dilara Tezcan</cp:lastModifiedBy>
  <cp:revision>26</cp:revision>
  <cp:lastPrinted>2015-10-01T04:41:00Z</cp:lastPrinted>
  <dcterms:created xsi:type="dcterms:W3CDTF">2015-10-01T00:12:00Z</dcterms:created>
  <dcterms:modified xsi:type="dcterms:W3CDTF">2015-10-01T04:41:00Z</dcterms:modified>
</cp:coreProperties>
</file>