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DE CONCLUSIÓN</w:t>
      </w:r>
    </w:p>
    <w:p>
      <w:pPr>
        <w:jc w:val="left"/>
      </w:pPr>
      <w:r>
        <w:t>Síntesis integral y decisiones recomendadas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CE6F1"/>
          </w:tcPr>
          <w:p>
            <w:r>
              <w:t>Archivo fuente</w:t>
            </w:r>
          </w:p>
        </w:tc>
        <w:tc>
          <w:tcPr>
            <w:tcW w:type="dxa" w:w="5256"/>
          </w:tcPr>
          <w:p>
            <w:r>
              <w:t>data_alma_historico_1_1_B.xlsx</w:t>
            </w:r>
          </w:p>
        </w:tc>
      </w:tr>
      <w:tr>
        <w:tc>
          <w:tcPr>
            <w:tcW w:type="dxa" w:w="5256"/>
            <w:shd w:fill="DCE6F1"/>
          </w:tcPr>
          <w:p>
            <w:r>
              <w:t>Fecha de corte aparente</w:t>
            </w:r>
          </w:p>
        </w:tc>
        <w:tc>
          <w:tcPr>
            <w:tcW w:type="dxa" w:w="5256"/>
          </w:tcPr>
          <w:p>
            <w:r>
              <w:t>2025-12-03</w:t>
            </w:r>
          </w:p>
        </w:tc>
      </w:tr>
      <w:tr>
        <w:tc>
          <w:tcPr>
            <w:tcW w:type="dxa" w:w="5256"/>
            <w:shd w:fill="DCE6F1"/>
          </w:tcPr>
          <w:p>
            <w:r>
              <w:t>Alcance</w:t>
            </w:r>
          </w:p>
        </w:tc>
        <w:tc>
          <w:tcPr>
            <w:tcW w:type="dxa" w:w="5256"/>
          </w:tcPr>
          <w:p>
            <w:r>
              <w:t>Hoja JiraData_1_1_B; fotografía histórica exportada desde Jira</w:t>
            </w:r>
          </w:p>
        </w:tc>
      </w:tr>
      <w:tr>
        <w:tc>
          <w:tcPr>
            <w:tcW w:type="dxa" w:w="5256"/>
            <w:shd w:fill="DCE6F1"/>
          </w:tcPr>
          <w:p>
            <w:r>
              <w:t>Población</w:t>
            </w:r>
          </w:p>
        </w:tc>
        <w:tc>
          <w:tcPr>
            <w:tcW w:type="dxa" w:w="5256"/>
          </w:tcPr>
          <w:p>
            <w:r>
              <w:t>8845 incidencias: 6777 pruebas y 2068 errores</w:t>
            </w:r>
          </w:p>
        </w:tc>
      </w:tr>
      <w:tr>
        <w:tc>
          <w:tcPr>
            <w:tcW w:type="dxa" w:w="5256"/>
            <w:shd w:fill="DCE6F1"/>
          </w:tcPr>
          <w:p>
            <w:r>
              <w:t>Exclusiones</w:t>
            </w:r>
          </w:p>
        </w:tc>
        <w:tc>
          <w:tcPr>
            <w:tcW w:type="dxa" w:w="5256"/>
          </w:tcPr>
          <w:p>
            <w:r>
              <w:t>Ninguna fila; métricas excluyen nulos según contrato</w:t>
            </w:r>
          </w:p>
        </w:tc>
      </w:tr>
      <w:tr>
        <w:tc>
          <w:tcPr>
            <w:tcW w:type="dxa" w:w="5256"/>
            <w:shd w:fill="DCE6F1"/>
          </w:tcPr>
          <w:p>
            <w:r>
              <w:t>Supuestos</w:t>
            </w:r>
          </w:p>
        </w:tc>
        <w:tc>
          <w:tcPr>
            <w:tcW w:type="dxa" w:w="5256"/>
          </w:tcPr>
          <w:p>
            <w:r>
              <w:t>Tipo incidencia define Prueba/Error; Key es unidad única</w:t>
            </w:r>
          </w:p>
        </w:tc>
      </w:tr>
      <w:tr>
        <w:tc>
          <w:tcPr>
            <w:tcW w:type="dxa" w:w="5256"/>
            <w:shd w:fill="DCE6F1"/>
          </w:tcPr>
          <w:p>
            <w:r>
              <w:t>Limitaciones</w:t>
            </w:r>
          </w:p>
        </w:tc>
        <w:tc>
          <w:tcPr>
            <w:tcW w:type="dxa" w:w="5256"/>
          </w:tcPr>
          <w:p>
            <w:r>
              <w:t>Sin changelog, esfuerzo, ejecuciones repetidas ni vínculo prueba-defecto normalizado</w:t>
            </w:r>
          </w:p>
        </w:tc>
      </w:tr>
      <w:tr>
        <w:tc>
          <w:tcPr>
            <w:tcW w:type="dxa" w:w="5256"/>
            <w:shd w:fill="DCE6F1"/>
          </w:tcPr>
          <w:p>
            <w:r>
              <w:t>Fecha de ejecución</w:t>
            </w:r>
          </w:p>
        </w:tc>
        <w:tc>
          <w:tcPr>
            <w:tcW w:type="dxa" w:w="5256"/>
          </w:tcPr>
          <w:p>
            <w:r>
              <w:t>2026-07-27T23:24:28</w:t>
            </w:r>
          </w:p>
        </w:tc>
      </w:tr>
    </w:tbl>
    <w:p>
      <w:pPr>
        <w:pStyle w:val="Heading1"/>
      </w:pPr>
      <w:r>
        <w:t>Estado general</w:t>
      </w:r>
    </w:p>
    <w:p>
      <w:pPr>
        <w:pStyle w:val="ListBullet"/>
      </w:pPr>
      <w:r>
        <w:t>HECHO: dataset estructuralmente consistente a nivel Key (8845/8845 únicas) y con taxonomía suficiente para volumen y estado.</w:t>
      </w:r>
    </w:p>
    <w:p>
      <w:pPr>
        <w:pStyle w:val="ListBullet"/>
      </w:pPr>
      <w:r>
        <w:t>HECHO: la confiabilidad es media para inventario y segmentación; baja para flujo histórico, productividad, fuga y reaperturas.</w:t>
      </w:r>
    </w:p>
    <w:p>
      <w:pPr>
        <w:pStyle w:val="ListBullet"/>
      </w:pPr>
      <w:r>
        <w:t>INFERENCIA: el proceso dispone de trazabilidad de incidencias, pero no de una capa de medición operativa completa.</w:t>
      </w:r>
    </w:p>
    <w:p>
      <w:pPr>
        <w:pStyle w:val="ListBullet"/>
      </w:pPr>
      <w:r>
        <w:t>RECOMENDACIÓN: priorizar gobierno del dato antes de usar comparaciones individuales o metas de productividad.</w:t>
      </w:r>
    </w:p>
    <w:p>
      <w:pPr>
        <w:pStyle w:val="Heading1"/>
      </w:pPr>
      <w:r>
        <w:t>Principales patrones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Tema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Lectura</w:t>
            </w:r>
          </w:p>
        </w:tc>
      </w:tr>
      <w:tr>
        <w:tc>
          <w:tcPr>
            <w:tcW w:type="dxa" w:w="3504"/>
            <w:vAlign w:val="center"/>
          </w:tcPr>
          <w:p>
            <w:r>
              <w:t>Defectos</w:t>
            </w:r>
          </w:p>
        </w:tc>
        <w:tc>
          <w:tcPr>
            <w:tcW w:type="dxa" w:w="3504"/>
            <w:vAlign w:val="center"/>
          </w:tcPr>
          <w:p>
            <w:r>
              <w:t>2068 errores; Core 1266</w:t>
            </w:r>
          </w:p>
        </w:tc>
        <w:tc>
          <w:tcPr>
            <w:tcW w:type="dxa" w:w="3504"/>
            <w:vAlign w:val="center"/>
          </w:tcPr>
          <w:p>
            <w:r>
              <w:t>Contextualizar por exposición</w:t>
            </w:r>
          </w:p>
        </w:tc>
      </w:tr>
      <w:tr>
        <w:tc>
          <w:tcPr>
            <w:tcW w:type="dxa" w:w="3504"/>
            <w:vAlign w:val="center"/>
          </w:tcPr>
          <w:p>
            <w:r>
              <w:t>Carga</w:t>
            </w:r>
          </w:p>
        </w:tc>
        <w:tc>
          <w:tcPr>
            <w:tcW w:type="dxa" w:w="3504"/>
            <w:vAlign w:val="center"/>
          </w:tcPr>
          <w:p>
            <w:r>
              <w:t>Top 5 responsables 64.4% de pruebas</w:t>
            </w:r>
          </w:p>
        </w:tc>
        <w:tc>
          <w:tcPr>
            <w:tcW w:type="dxa" w:w="3504"/>
            <w:vAlign w:val="center"/>
          </w:tcPr>
          <w:p>
            <w:r>
              <w:t>No equivale a sobrecarga</w:t>
            </w:r>
          </w:p>
        </w:tc>
      </w:tr>
      <w:tr>
        <w:tc>
          <w:tcPr>
            <w:tcW w:type="dxa" w:w="3504"/>
            <w:vAlign w:val="center"/>
          </w:tcPr>
          <w:p>
            <w:r>
              <w:t>Automatización</w:t>
            </w:r>
          </w:p>
        </w:tc>
        <w:tc>
          <w:tcPr>
            <w:tcW w:type="dxa" w:w="3504"/>
            <w:vAlign w:val="center"/>
          </w:tcPr>
          <w:p>
            <w:r>
              <w:t>597 automatizadas; 1795 automatizables</w:t>
            </w:r>
          </w:p>
        </w:tc>
        <w:tc>
          <w:tcPr>
            <w:tcW w:type="dxa" w:w="3504"/>
            <w:vAlign w:val="center"/>
          </w:tcPr>
          <w:p>
            <w:r>
              <w:t>Pipeline potencial</w:t>
            </w:r>
          </w:p>
        </w:tc>
      </w:tr>
      <w:tr>
        <w:tc>
          <w:tcPr>
            <w:tcW w:type="dxa" w:w="3504"/>
            <w:vAlign w:val="center"/>
          </w:tcPr>
          <w:p>
            <w:r>
              <w:t>Gobierno</w:t>
            </w:r>
          </w:p>
        </w:tc>
        <w:tc>
          <w:tcPr>
            <w:tcW w:type="dxa" w:w="3504"/>
            <w:vAlign w:val="center"/>
          </w:tcPr>
          <w:p>
            <w:r>
              <w:t>Fuga informada 6.48%</w:t>
            </w:r>
          </w:p>
        </w:tc>
        <w:tc>
          <w:tcPr>
            <w:tcW w:type="dxa" w:w="3504"/>
            <w:vAlign w:val="center"/>
          </w:tcPr>
          <w:p>
            <w:r>
              <w:t>Riesgo crítico de medición</w:t>
            </w:r>
          </w:p>
        </w:tc>
      </w:tr>
    </w:tbl>
    <w:p>
      <w:pPr>
        <w:pStyle w:val="Heading1"/>
      </w:pPr>
      <w:r>
        <w:t>Riesgo, oportunidad y decisión inmediata</w:t>
      </w:r>
    </w:p>
    <w:p>
      <w:pPr>
        <w:pStyle w:val="ListBullet"/>
      </w:pPr>
      <w:r>
        <w:t>Riesgo principal: tomar decisiones sobre fuga, reapertura o desempeño con denominadores incompletos.</w:t>
      </w:r>
    </w:p>
    <w:p>
      <w:pPr>
        <w:pStyle w:val="ListBullet"/>
      </w:pPr>
      <w:r>
        <w:t>Oportunidad principal: convertir el export actual en un modelo de incidencias + transiciones + ejecuciones + capacidad.</w:t>
      </w:r>
    </w:p>
    <w:p>
      <w:pPr>
        <w:pStyle w:val="ListBullet"/>
      </w:pPr>
      <w:r>
        <w:t>Decisión inmediata recomendada: aprobar un mínimo obligatorio de datos y un tablero semanal de calidad/capacidad con reglas del Contrato Analítico.</w:t>
      </w:r>
    </w:p>
    <w:p>
      <w:pPr>
        <w:pStyle w:val="Heading1"/>
      </w:pPr>
      <w:r>
        <w:t>Plan priorizado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Horizonte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3504"/>
            <w:shd w:fill="17324D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3504"/>
            <w:vAlign w:val="center"/>
          </w:tcPr>
          <w:p>
            <w:r>
              <w:t>Inmediato</w:t>
            </w:r>
          </w:p>
        </w:tc>
        <w:tc>
          <w:tcPr>
            <w:tcW w:type="dxa" w:w="3504"/>
            <w:vAlign w:val="center"/>
          </w:tcPr>
          <w:p>
            <w:r>
              <w:t>Obligatoriedad de fuga y catálogo de estados</w:t>
            </w:r>
          </w:p>
        </w:tc>
        <w:tc>
          <w:tcPr>
            <w:tcW w:type="dxa" w:w="3504"/>
            <w:vAlign w:val="center"/>
          </w:tcPr>
          <w:p>
            <w:r>
              <w:t>Cobertura y comparabilidad</w:t>
            </w:r>
          </w:p>
        </w:tc>
      </w:tr>
      <w:tr>
        <w:tc>
          <w:tcPr>
            <w:tcW w:type="dxa" w:w="3504"/>
            <w:vAlign w:val="center"/>
          </w:tcPr>
          <w:p>
            <w:r>
              <w:t>Corto plazo</w:t>
            </w:r>
          </w:p>
        </w:tc>
        <w:tc>
          <w:tcPr>
            <w:tcW w:type="dxa" w:w="3504"/>
            <w:vAlign w:val="center"/>
          </w:tcPr>
          <w:p>
            <w:r>
              <w:t>Ingesta de changelog y ejecución</w:t>
            </w:r>
          </w:p>
        </w:tc>
        <w:tc>
          <w:tcPr>
            <w:tcW w:type="dxa" w:w="3504"/>
            <w:vAlign w:val="center"/>
          </w:tcPr>
          <w:p>
            <w:r>
              <w:t>Ciclo/reapertura/throughput reales</w:t>
            </w:r>
          </w:p>
        </w:tc>
      </w:tr>
      <w:tr>
        <w:tc>
          <w:tcPr>
            <w:tcW w:type="dxa" w:w="3504"/>
            <w:vAlign w:val="center"/>
          </w:tcPr>
          <w:p>
            <w:r>
              <w:t>Corto plazo</w:t>
            </w:r>
          </w:p>
        </w:tc>
        <w:tc>
          <w:tcPr>
            <w:tcW w:type="dxa" w:w="3504"/>
            <w:vAlign w:val="center"/>
          </w:tcPr>
          <w:p>
            <w:r>
              <w:t>Capacidad, WIP y complejidad</w:t>
            </w:r>
          </w:p>
        </w:tc>
        <w:tc>
          <w:tcPr>
            <w:tcW w:type="dxa" w:w="3504"/>
            <w:vAlign w:val="center"/>
          </w:tcPr>
          <w:p>
            <w:r>
              <w:t>Carga interpretable</w:t>
            </w:r>
          </w:p>
        </w:tc>
      </w:tr>
      <w:tr>
        <w:tc>
          <w:tcPr>
            <w:tcW w:type="dxa" w:w="3504"/>
            <w:vAlign w:val="center"/>
          </w:tcPr>
          <w:p>
            <w:r>
              <w:t>Mediano plazo</w:t>
            </w:r>
          </w:p>
        </w:tc>
        <w:tc>
          <w:tcPr>
            <w:tcW w:type="dxa" w:w="3504"/>
            <w:vAlign w:val="center"/>
          </w:tcPr>
          <w:p>
            <w:r>
              <w:t>Automatización basada en riesgo</w:t>
            </w:r>
          </w:p>
        </w:tc>
        <w:tc>
          <w:tcPr>
            <w:tcW w:type="dxa" w:w="3504"/>
            <w:vAlign w:val="center"/>
          </w:tcPr>
          <w:p>
            <w:r>
              <w:t>Mejora medible</w:t>
            </w:r>
          </w:p>
        </w:tc>
      </w:tr>
    </w:tbl>
    <w:p>
      <w:pPr>
        <w:pStyle w:val="Heading1"/>
      </w:pPr>
      <w:r>
        <w:t>Información adicional necesaria</w:t>
      </w:r>
    </w:p>
    <w:p>
      <w:pPr>
        <w:pStyle w:val="ListBullet"/>
      </w:pPr>
      <w:r>
        <w:t>Historial de transiciones Jira.</w:t>
      </w:r>
    </w:p>
    <w:p>
      <w:pPr>
        <w:pStyle w:val="ListBullet"/>
      </w:pPr>
      <w:r>
        <w:t>Entidad de ejecución de prueba con resultado y timestamp.</w:t>
      </w:r>
    </w:p>
    <w:p>
      <w:pPr>
        <w:pStyle w:val="ListBullet"/>
      </w:pPr>
      <w:r>
        <w:t>Vínculo normalizado entre prueba, defecto, ciclo y release.</w:t>
      </w:r>
    </w:p>
    <w:p>
      <w:pPr>
        <w:pStyle w:val="ListBullet"/>
      </w:pPr>
      <w:r>
        <w:t>Horas disponibles/consumidas y complejidad homogénea.</w:t>
      </w:r>
    </w:p>
    <w:p>
      <w:pPr>
        <w:pStyle w:val="ListBullet"/>
      </w:pPr>
      <w:r>
        <w:t>Reglas formales de fuga, severidad, prioridad y cierre.</w:t>
      </w:r>
    </w:p>
    <w:p>
      <w:pPr>
        <w:pStyle w:val="Heading1"/>
      </w:pPr>
      <w:r>
        <w:t>Glosario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type="dxa" w:w="5256"/>
            <w:shd w:fill="17324D"/>
          </w:tcPr>
          <w:p>
            <w:r>
              <w:rPr>
                <w:b/>
                <w:color w:val="FFFFFF"/>
              </w:rPr>
              <w:t>Uso en este reporte</w:t>
            </w:r>
          </w:p>
        </w:tc>
      </w:tr>
      <w:tr>
        <w:tc>
          <w:tcPr>
            <w:tcW w:type="dxa" w:w="5256"/>
            <w:vAlign w:val="center"/>
          </w:tcPr>
          <w:p>
            <w:r>
              <w:t>Gobierno de datos</w:t>
            </w:r>
          </w:p>
        </w:tc>
        <w:tc>
          <w:tcPr>
            <w:tcW w:type="dxa" w:w="5256"/>
            <w:vAlign w:val="center"/>
          </w:tcPr>
          <w:p>
            <w:r>
              <w:t>Responsabilidad, reglas y controles sobre el dato.</w:t>
            </w:r>
          </w:p>
        </w:tc>
      </w:tr>
      <w:tr>
        <w:tc>
          <w:tcPr>
            <w:tcW w:type="dxa" w:w="5256"/>
            <w:vAlign w:val="center"/>
          </w:tcPr>
          <w:p>
            <w:r>
              <w:t>Changelog</w:t>
            </w:r>
          </w:p>
        </w:tc>
        <w:tc>
          <w:tcPr>
            <w:tcW w:type="dxa" w:w="5256"/>
            <w:vAlign w:val="center"/>
          </w:tcPr>
          <w:p>
            <w:r>
              <w:t>Historial de transiciones de una incidencia.</w:t>
            </w:r>
          </w:p>
        </w:tc>
      </w:tr>
      <w:tr>
        <w:tc>
          <w:tcPr>
            <w:tcW w:type="dxa" w:w="5256"/>
            <w:vAlign w:val="center"/>
          </w:tcPr>
          <w:p>
            <w:r>
              <w:t>Throughput</w:t>
            </w:r>
          </w:p>
        </w:tc>
        <w:tc>
          <w:tcPr>
            <w:tcW w:type="dxa" w:w="5256"/>
            <w:vAlign w:val="center"/>
          </w:tcPr>
          <w:p>
            <w:r>
              <w:t>Salida completada por período.</w:t>
            </w:r>
          </w:p>
        </w:tc>
      </w:tr>
      <w:tr>
        <w:tc>
          <w:tcPr>
            <w:tcW w:type="dxa" w:w="5256"/>
            <w:vAlign w:val="center"/>
          </w:tcPr>
          <w:p>
            <w:r>
              <w:t>Denominador</w:t>
            </w:r>
          </w:p>
        </w:tc>
        <w:tc>
          <w:tcPr>
            <w:tcW w:type="dxa" w:w="5256"/>
            <w:vAlign w:val="center"/>
          </w:tcPr>
          <w:p>
            <w:r>
              <w:t>Base explícita de una tasa.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Análisis QA — fuente: data_alma_historico_1_1_B.xlsx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6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65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