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FASE 3</w:t>
      </w:r>
    </w:p>
    <w:p>
      <w:pPr>
        <w:jc w:val="left"/>
      </w:pPr>
      <w:r>
        <w:t>Respuestas particulares: Defectos y Carga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E6F1"/>
          </w:tcPr>
          <w:p>
            <w:r>
              <w:t>Archivo fuente</w:t>
            </w:r>
          </w:p>
        </w:tc>
        <w:tc>
          <w:tcPr>
            <w:tcW w:type="dxa" w:w="5256"/>
          </w:tcPr>
          <w:p>
            <w:r>
              <w:t>data_alma_historico_1_1_B.xlsx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corte aparente</w:t>
            </w:r>
          </w:p>
        </w:tc>
        <w:tc>
          <w:tcPr>
            <w:tcW w:type="dxa" w:w="5256"/>
          </w:tcPr>
          <w:p>
            <w:r>
              <w:t>2025-12-03</w:t>
            </w:r>
          </w:p>
        </w:tc>
      </w:tr>
      <w:tr>
        <w:tc>
          <w:tcPr>
            <w:tcW w:type="dxa" w:w="5256"/>
            <w:shd w:fill="DCE6F1"/>
          </w:tcPr>
          <w:p>
            <w:r>
              <w:t>Alcance</w:t>
            </w:r>
          </w:p>
        </w:tc>
        <w:tc>
          <w:tcPr>
            <w:tcW w:type="dxa" w:w="5256"/>
          </w:tcPr>
          <w:p>
            <w:r>
              <w:t>Hoja JiraData_1_1_B; fotografía histórica exportada desde Jira</w:t>
            </w:r>
          </w:p>
        </w:tc>
      </w:tr>
      <w:tr>
        <w:tc>
          <w:tcPr>
            <w:tcW w:type="dxa" w:w="5256"/>
            <w:shd w:fill="DCE6F1"/>
          </w:tcPr>
          <w:p>
            <w:r>
              <w:t>Población</w:t>
            </w:r>
          </w:p>
        </w:tc>
        <w:tc>
          <w:tcPr>
            <w:tcW w:type="dxa" w:w="5256"/>
          </w:tcPr>
          <w:p>
            <w:r>
              <w:t>8845 incidencias: 6777 pruebas y 2068 errores</w:t>
            </w:r>
          </w:p>
        </w:tc>
      </w:tr>
      <w:tr>
        <w:tc>
          <w:tcPr>
            <w:tcW w:type="dxa" w:w="5256"/>
            <w:shd w:fill="DCE6F1"/>
          </w:tcPr>
          <w:p>
            <w:r>
              <w:t>Exclusiones</w:t>
            </w:r>
          </w:p>
        </w:tc>
        <w:tc>
          <w:tcPr>
            <w:tcW w:type="dxa" w:w="5256"/>
          </w:tcPr>
          <w:p>
            <w:r>
              <w:t>Ninguna fila; métricas excluyen nulos según contrato</w:t>
            </w:r>
          </w:p>
        </w:tc>
      </w:tr>
      <w:tr>
        <w:tc>
          <w:tcPr>
            <w:tcW w:type="dxa" w:w="5256"/>
            <w:shd w:fill="DCE6F1"/>
          </w:tcPr>
          <w:p>
            <w:r>
              <w:t>Supuestos</w:t>
            </w:r>
          </w:p>
        </w:tc>
        <w:tc>
          <w:tcPr>
            <w:tcW w:type="dxa" w:w="5256"/>
          </w:tcPr>
          <w:p>
            <w:r>
              <w:t>Tipo incidencia define Prueba/Error; Key es unidad única</w:t>
            </w:r>
          </w:p>
        </w:tc>
      </w:tr>
      <w:tr>
        <w:tc>
          <w:tcPr>
            <w:tcW w:type="dxa" w:w="5256"/>
            <w:shd w:fill="DCE6F1"/>
          </w:tcPr>
          <w:p>
            <w:r>
              <w:t>Limitaciones</w:t>
            </w:r>
          </w:p>
        </w:tc>
        <w:tc>
          <w:tcPr>
            <w:tcW w:type="dxa" w:w="5256"/>
          </w:tcPr>
          <w:p>
            <w:r>
              <w:t>Sin changelog, esfuerzo, ejecuciones repetidas ni vínculo prueba-defecto normalizado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ejecución</w:t>
            </w:r>
          </w:p>
        </w:tc>
        <w:tc>
          <w:tcPr>
            <w:tcW w:type="dxa" w:w="5256"/>
          </w:tcPr>
          <w:p>
            <w:r>
              <w:t>2026-07-27T23:24:28</w:t>
            </w:r>
          </w:p>
        </w:tc>
      </w:tr>
    </w:tbl>
    <w:p>
      <w:pPr>
        <w:pStyle w:val="Heading1"/>
      </w:pPr>
      <w:r>
        <w:t>Matriz de respuestas particulares</w:t>
      </w:r>
    </w:p>
    <w:p>
      <w:pPr>
        <w:pStyle w:val="Heading2"/>
      </w:pPr>
      <w:r>
        <w:t>P-01 — Defectos</w:t>
      </w:r>
    </w:p>
    <w:p>
      <w:pPr>
        <w:pStyle w:val="ListBullet"/>
      </w:pPr>
      <w:r>
        <w:t>Solicitud: Insights de defectos.</w:t>
      </w:r>
    </w:p>
    <w:p>
      <w:pPr>
        <w:pStyle w:val="ListBullet"/>
      </w:pPr>
      <w:r>
        <w:t>Interpretación operacional: incidencia Jira con Tipo incidencia = Error.</w:t>
      </w:r>
    </w:p>
    <w:p>
      <w:pPr>
        <w:pStyle w:val="ListBullet"/>
      </w:pPr>
      <w:r>
        <w:t>Datos/cobertura: 2068 defectos; cobertura completa de tipo y Key; cobertura de fuga 6.48%.</w:t>
      </w:r>
    </w:p>
    <w:p>
      <w:pPr>
        <w:pStyle w:val="ListBullet"/>
      </w:pPr>
      <w:r>
        <w:t>Método: conteo único por Key; segmentación por producto, estado, criticidad, origen y fuga.</w:t>
      </w:r>
    </w:p>
    <w:p>
      <w:pPr>
        <w:pStyle w:val="ListBullet"/>
      </w:pPr>
      <w:r>
        <w:t>Población/período: todo el archivo, fechas observadas 2023-01-09 a 2025-12-03.</w:t>
      </w:r>
    </w:p>
    <w:p>
      <w:pPr>
        <w:pStyle w:val="ListBullet"/>
      </w:pPr>
      <w:r>
        <w:t>Resultado — HECHO: Se observaron 2068 defectos (tipo Error). 1266 pertenecen a Proyecto Core (61.22%).</w:t>
      </w:r>
    </w:p>
    <w:p>
      <w:pPr>
        <w:pStyle w:val="ListBullet"/>
      </w:pPr>
      <w:r>
        <w:t>HECHO adicional: Solo 134 de 2068 defectos (6.48%) informan Defecto Fugado; entre los informados, 52 están en SI.</w:t>
      </w:r>
    </w:p>
    <w:p>
      <w:pPr>
        <w:pStyle w:val="ListBullet"/>
      </w:pPr>
      <w:r>
        <w:t>INFERENCIA: El volumen absoluto sugiere foco operativo, pero la concentración de pruebas en el mismo producto puede explicar parte del patrón.</w:t>
      </w:r>
    </w:p>
    <w:p>
      <w:pPr>
        <w:pStyle w:val="ListBullet"/>
      </w:pPr>
      <w:r>
        <w:t>RECOMENDACIÓN: Revisar semanalmente defectos por producto con tasa por 100 pruebas y severidad; no priorizar solo por volumen.</w:t>
      </w:r>
    </w:p>
    <w:p>
      <w:pPr>
        <w:pStyle w:val="ListBullet"/>
      </w:pPr>
      <w:r>
        <w:t>Riesgo: tasas de fuga/reapertura no representativas por cobertura e inexistencia de changelog.</w:t>
      </w:r>
    </w:p>
    <w:p>
      <w:pPr>
        <w:pStyle w:val="ListBullet"/>
      </w:pPr>
      <w:r>
        <w:t>Confianza: media para comparaciones de volumen; alta para limitaciones de cobertura.</w:t>
      </w:r>
    </w:p>
    <w:p>
      <w:pPr>
        <w:pStyle w:val="ListBullet"/>
      </w:pPr>
      <w:r>
        <w:t>Referencia: FASE 1 H-01/H-02 y FASE 2 I-01/I-02/I-03.</w:t>
      </w:r>
    </w:p>
    <w:p>
      <w:r>
        <w:drawing>
          <wp:inline xmlns:a="http://schemas.openxmlformats.org/drawingml/2006/main" xmlns:pic="http://schemas.openxmlformats.org/drawingml/2006/picture">
            <wp:extent cx="7589520" cy="42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c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2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P-02 — Carga de Trabajo</w:t>
      </w:r>
    </w:p>
    <w:p>
      <w:pPr>
        <w:pStyle w:val="ListBullet"/>
      </w:pPr>
      <w:r>
        <w:t>Solicitud: Insights de carga de trabajo.</w:t>
      </w:r>
    </w:p>
    <w:p>
      <w:pPr>
        <w:pStyle w:val="ListBullet"/>
      </w:pPr>
      <w:r>
        <w:t>Interpretación operacional: número de incidencias tipo Prueba actualmente asignadas por Nombre responsable. No se interpreta como productividad.</w:t>
      </w:r>
    </w:p>
    <w:p>
      <w:pPr>
        <w:pStyle w:val="ListBullet"/>
      </w:pPr>
      <w:r>
        <w:t>Datos/cobertura: 6777 pruebas; responsable informado en 6777 (100.0%).</w:t>
      </w:r>
    </w:p>
    <w:p>
      <w:pPr>
        <w:pStyle w:val="ListBullet"/>
      </w:pPr>
      <w:r>
        <w:t>Método: conteo único por Key y participación por responsable; coeficiente de variación descriptivo.</w:t>
      </w:r>
    </w:p>
    <w:p>
      <w:pPr>
        <w:pStyle w:val="ListBullet"/>
      </w:pPr>
      <w:r>
        <w:t>Población/período: inventario histórico completo; no hay capacidad por período ni horas.</w:t>
      </w:r>
    </w:p>
    <w:p>
      <w:pPr>
        <w:pStyle w:val="ListBullet"/>
      </w:pPr>
      <w:r>
        <w:t>Resultado — HECHO: Los cinco responsables con más pruebas concentran 64.4% de 6777 pruebas; el coeficiente de variación del volumen por responsable es 1.91.</w:t>
      </w:r>
    </w:p>
    <w:p>
      <w:pPr>
        <w:pStyle w:val="ListBullet"/>
      </w:pPr>
      <w:r>
        <w:t>INFERENCIA: Existe concentración de asignaciones o diferencias de alcance/antigüedad; no demuestra sobrecarga ni desempeño individual.</w:t>
      </w:r>
    </w:p>
    <w:p>
      <w:pPr>
        <w:pStyle w:val="ListBullet"/>
      </w:pPr>
      <w:r>
        <w:t>RECOMENDACIÓN: Gestionar capacidad con WIP, complejidad y horas disponibles por período; evitar rankings individuales por tickets.</w:t>
      </w:r>
    </w:p>
    <w:p>
      <w:pPr>
        <w:pStyle w:val="ListBullet"/>
      </w:pPr>
      <w:r>
        <w:t>No disponible: sobrecarga, utilización y productividad individual; faltan horas disponibles, horas consumidas, complejidad comparable, WIP histórico y calendario de asignación.</w:t>
      </w:r>
    </w:p>
    <w:p>
      <w:pPr>
        <w:pStyle w:val="ListBullet"/>
      </w:pPr>
      <w:r>
        <w:t>Confianza: media para concentración; baja/no disponible para capacidad real.</w:t>
      </w:r>
    </w:p>
    <w:p>
      <w:pPr>
        <w:pStyle w:val="ListBullet"/>
      </w:pPr>
      <w:r>
        <w:t>Referencia: FASE 1 H-03 y FASE 2 I-04.</w:t>
      </w:r>
    </w:p>
    <w:p>
      <w:r>
        <w:drawing>
          <wp:inline xmlns:a="http://schemas.openxmlformats.org/drawingml/2006/main" xmlns:pic="http://schemas.openxmlformats.org/drawingml/2006/picture">
            <wp:extent cx="7589520" cy="42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2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Uso en este reporte</w:t>
            </w:r>
          </w:p>
        </w:tc>
      </w:tr>
      <w:tr>
        <w:tc>
          <w:tcPr>
            <w:tcW w:type="dxa" w:w="5256"/>
            <w:vAlign w:val="center"/>
          </w:tcPr>
          <w:p>
            <w:r>
              <w:t>Carga de trabajo</w:t>
            </w:r>
          </w:p>
        </w:tc>
        <w:tc>
          <w:tcPr>
            <w:tcW w:type="dxa" w:w="5256"/>
            <w:vAlign w:val="center"/>
          </w:tcPr>
          <w:p>
            <w:r>
              <w:t>Inventario de pruebas asignadas; no implica esfuerzo.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Productividad</w:t>
            </w:r>
          </w:p>
        </w:tc>
        <w:tc>
          <w:tcPr>
            <w:tcW w:type="dxa" w:w="5256"/>
            <w:vAlign w:val="center"/>
          </w:tcPr>
          <w:p>
            <w:r>
              <w:t>Salida comparable por esfuerzo/período; no disponible.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Defecto</w:t>
            </w:r>
          </w:p>
        </w:tc>
        <w:tc>
          <w:tcPr>
            <w:tcW w:type="dxa" w:w="5256"/>
            <w:vAlign w:val="center"/>
          </w:tcPr>
          <w:p>
            <w:r>
              <w:t>Incidencia tipo Error.</w:t>
            </w:r>
          </w:p>
        </w:tc>
      </w:tr>
      <w:tr>
        <w:tc>
          <w:tcPr>
            <w:tcW w:type="dxa" w:w="5256"/>
            <w:vAlign w:val="center"/>
          </w:tcPr>
          <w:p>
            <w:r>
              <w:t>Cobertura</w:t>
            </w:r>
          </w:p>
        </w:tc>
        <w:tc>
          <w:tcPr>
            <w:tcW w:type="dxa" w:w="5256"/>
            <w:vAlign w:val="center"/>
          </w:tcPr>
          <w:p>
            <w:r>
              <w:t>Proporción de registros con datos suficientes.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Análisis QA — fuente: data_alma_historico_1_1_B.xlsx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