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EJECUTIVO</w:t>
      </w:r>
    </w:p>
    <w:p>
      <w:pPr>
        <w:jc w:val="left"/>
      </w:pPr>
      <w:r>
        <w:t>Decisiones para mejorar calidad y capacidad del proceso 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CE6F1"/>
          </w:tcPr>
          <w:p>
            <w:r>
              <w:t>Archivo fuente</w:t>
            </w:r>
          </w:p>
        </w:tc>
        <w:tc>
          <w:tcPr>
            <w:tcW w:type="dxa" w:w="5256"/>
          </w:tcPr>
          <w:p>
            <w:r>
              <w:t>data_alma_historico_1_1_B.xlsx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corte aparente</w:t>
            </w:r>
          </w:p>
        </w:tc>
        <w:tc>
          <w:tcPr>
            <w:tcW w:type="dxa" w:w="5256"/>
          </w:tcPr>
          <w:p>
            <w:r>
              <w:t>2025-12-03</w:t>
            </w:r>
          </w:p>
        </w:tc>
      </w:tr>
      <w:tr>
        <w:tc>
          <w:tcPr>
            <w:tcW w:type="dxa" w:w="5256"/>
            <w:shd w:fill="DCE6F1"/>
          </w:tcPr>
          <w:p>
            <w:r>
              <w:t>Alcance</w:t>
            </w:r>
          </w:p>
        </w:tc>
        <w:tc>
          <w:tcPr>
            <w:tcW w:type="dxa" w:w="5256"/>
          </w:tcPr>
          <w:p>
            <w:r>
              <w:t>Hoja JiraData_1_1_B; fotografía histórica exportada desde Jira</w:t>
            </w:r>
          </w:p>
        </w:tc>
      </w:tr>
      <w:tr>
        <w:tc>
          <w:tcPr>
            <w:tcW w:type="dxa" w:w="5256"/>
            <w:shd w:fill="DCE6F1"/>
          </w:tcPr>
          <w:p>
            <w:r>
              <w:t>Población</w:t>
            </w:r>
          </w:p>
        </w:tc>
        <w:tc>
          <w:tcPr>
            <w:tcW w:type="dxa" w:w="5256"/>
          </w:tcPr>
          <w:p>
            <w:r>
              <w:t>8845 incidencias: 6777 pruebas y 2068 errores</w:t>
            </w:r>
          </w:p>
        </w:tc>
      </w:tr>
      <w:tr>
        <w:tc>
          <w:tcPr>
            <w:tcW w:type="dxa" w:w="5256"/>
            <w:shd w:fill="DCE6F1"/>
          </w:tcPr>
          <w:p>
            <w:r>
              <w:t>Exclusiones</w:t>
            </w:r>
          </w:p>
        </w:tc>
        <w:tc>
          <w:tcPr>
            <w:tcW w:type="dxa" w:w="5256"/>
          </w:tcPr>
          <w:p>
            <w:r>
              <w:t>Ninguna fila; métricas excluyen nulos según contrato</w:t>
            </w:r>
          </w:p>
        </w:tc>
      </w:tr>
      <w:tr>
        <w:tc>
          <w:tcPr>
            <w:tcW w:type="dxa" w:w="5256"/>
            <w:shd w:fill="DCE6F1"/>
          </w:tcPr>
          <w:p>
            <w:r>
              <w:t>Supuestos</w:t>
            </w:r>
          </w:p>
        </w:tc>
        <w:tc>
          <w:tcPr>
            <w:tcW w:type="dxa" w:w="5256"/>
          </w:tcPr>
          <w:p>
            <w:r>
              <w:t>Tipo incidencia define Prueba/Error; Key es unidad única</w:t>
            </w:r>
          </w:p>
        </w:tc>
      </w:tr>
      <w:tr>
        <w:tc>
          <w:tcPr>
            <w:tcW w:type="dxa" w:w="5256"/>
            <w:shd w:fill="DCE6F1"/>
          </w:tcPr>
          <w:p>
            <w:r>
              <w:t>Limitaciones</w:t>
            </w:r>
          </w:p>
        </w:tc>
        <w:tc>
          <w:tcPr>
            <w:tcW w:type="dxa" w:w="5256"/>
          </w:tcPr>
          <w:p>
            <w:r>
              <w:t>Sin changelog, esfuerzo, ejecuciones repetidas ni vínculo prueba-defecto normalizado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ejecución</w:t>
            </w:r>
          </w:p>
        </w:tc>
        <w:tc>
          <w:tcPr>
            <w:tcW w:type="dxa" w:w="5256"/>
          </w:tcPr>
          <w:p>
            <w:r>
              <w:t>2026-07-27T23:24:28</w:t>
            </w:r>
          </w:p>
        </w:tc>
      </w:tr>
    </w:tbl>
    <w:p>
      <w:pPr>
        <w:pStyle w:val="Heading1"/>
      </w:pPr>
      <w:r>
        <w:t>Contexto y alcance</w:t>
      </w:r>
    </w:p>
    <w:p>
      <w:r>
        <w:t>Se analizaron 8845 incidencias Jira (6777 pruebas y 2068 errores) de una hoja, con corte aparente 2025-12-03. La unidad es la incidencia única por Key; no se dispone de historial de ejecuciones, transiciones ni esfuerzo.</w:t>
      </w:r>
    </w:p>
    <w:p>
      <w:pPr>
        <w:pStyle w:val="Heading1"/>
      </w:pPr>
      <w:r>
        <w:t>Cinco insights accionables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24D"/>
          </w:tcPr>
          <w:p>
            <w:r>
              <w:rPr>
                <w:b/>
                <w:color w:val="FFFFFF"/>
              </w:rPr>
              <w:t>Insight</w:t>
            </w:r>
          </w:p>
        </w:tc>
        <w:tc>
          <w:tcPr>
            <w:tcW w:type="dxa" w:w="2628"/>
            <w:shd w:fill="17324D"/>
          </w:tcPr>
          <w:p>
            <w:r>
              <w:rPr>
                <w:b/>
                <w:color w:val="FFFFFF"/>
              </w:rPr>
              <w:t>Evidencia esencial</w:t>
            </w:r>
          </w:p>
        </w:tc>
        <w:tc>
          <w:tcPr>
            <w:tcW w:type="dxa" w:w="2628"/>
            <w:shd w:fill="17324D"/>
          </w:tcPr>
          <w:p>
            <w:r>
              <w:rPr>
                <w:b/>
                <w:color w:val="FFFFFF"/>
              </w:rPr>
              <w:t>Decisión sugerida</w:t>
            </w:r>
          </w:p>
        </w:tc>
        <w:tc>
          <w:tcPr>
            <w:tcW w:type="dxa" w:w="2628"/>
            <w:shd w:fill="17324D"/>
          </w:tcPr>
          <w:p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2628"/>
            <w:vAlign w:val="center"/>
          </w:tcPr>
          <w:p>
            <w:r>
              <w:t>I-01 La evidencia de defectos está concentrada y requiere gestión por exposición</w:t>
            </w:r>
          </w:p>
        </w:tc>
        <w:tc>
          <w:tcPr>
            <w:tcW w:type="dxa" w:w="2628"/>
            <w:vAlign w:val="center"/>
          </w:tcPr>
          <w:p>
            <w:r>
              <w:t>Se observaron 2068 defectos (tipo Error). 1266 pertenecen a Proyecto Core (61.22%).</w:t>
            </w:r>
          </w:p>
        </w:tc>
        <w:tc>
          <w:tcPr>
            <w:tcW w:type="dxa" w:w="2628"/>
            <w:vAlign w:val="center"/>
          </w:tcPr>
          <w:p>
            <w:r>
              <w:t>Revisar semanalmente defectos por producto con tasa por 100 pruebas y severidad; no priori</w:t>
            </w:r>
          </w:p>
        </w:tc>
        <w:tc>
          <w:tcPr>
            <w:tcW w:type="dxa" w:w="2628"/>
            <w:vAlign w:val="center"/>
          </w:tcPr>
          <w:p>
            <w:r>
              <w:t>Alta</w:t>
            </w:r>
          </w:p>
        </w:tc>
      </w:tr>
      <w:tr>
        <w:tc>
          <w:tcPr>
            <w:tcW w:type="dxa" w:w="2628"/>
            <w:vAlign w:val="center"/>
          </w:tcPr>
          <w:p>
            <w:r>
              <w:t>I-02 El campo de fuga no permite estimar una tasa representativa</w:t>
            </w:r>
          </w:p>
        </w:tc>
        <w:tc>
          <w:tcPr>
            <w:tcW w:type="dxa" w:w="2628"/>
            <w:vAlign w:val="center"/>
          </w:tcPr>
          <w:p>
            <w:r>
              <w:t xml:space="preserve">Solo 134 de 2068 defectos (6.48%) informan Defecto Fugado; entre los informados, 52 están </w:t>
            </w:r>
          </w:p>
        </w:tc>
        <w:tc>
          <w:tcPr>
            <w:tcW w:type="dxa" w:w="2628"/>
            <w:vAlign w:val="center"/>
          </w:tcPr>
          <w:p>
            <w:r>
              <w:t>Hacer obligatorio el dato de fuga al cerrar defectos y auditar la cobertura mensualmente.</w:t>
            </w:r>
          </w:p>
        </w:tc>
        <w:tc>
          <w:tcPr>
            <w:tcW w:type="dxa" w:w="2628"/>
            <w:vAlign w:val="center"/>
          </w:tcPr>
          <w:p>
            <w:r>
              <w:t>Alta</w:t>
            </w:r>
          </w:p>
        </w:tc>
      </w:tr>
      <w:tr>
        <w:tc>
          <w:tcPr>
            <w:tcW w:type="dxa" w:w="2628"/>
            <w:vAlign w:val="center"/>
          </w:tcPr>
          <w:p>
            <w:r>
              <w:t>I-03 La reapertura visible es un mínimo, no una tasa histórica</w:t>
            </w:r>
          </w:p>
        </w:tc>
        <w:tc>
          <w:tcPr>
            <w:tcW w:type="dxa" w:w="2628"/>
            <w:vAlign w:val="center"/>
          </w:tcPr>
          <w:p>
            <w:r>
              <w:t>11 defectos están actualmente en estado re-abierto (0.53% del total).</w:t>
            </w:r>
          </w:p>
        </w:tc>
        <w:tc>
          <w:tcPr>
            <w:tcW w:type="dxa" w:w="2628"/>
            <w:vAlign w:val="center"/>
          </w:tcPr>
          <w:p>
            <w:r>
              <w:t>Incorporar changelog de estado y medir eventos de reapertura por defectos resueltos.</w:t>
            </w:r>
          </w:p>
        </w:tc>
        <w:tc>
          <w:tcPr>
            <w:tcW w:type="dxa" w:w="2628"/>
            <w:vAlign w:val="center"/>
          </w:tcPr>
          <w:p>
            <w:r>
              <w:t>Alta</w:t>
            </w:r>
          </w:p>
        </w:tc>
      </w:tr>
      <w:tr>
        <w:tc>
          <w:tcPr>
            <w:tcW w:type="dxa" w:w="2628"/>
            <w:vAlign w:val="center"/>
          </w:tcPr>
          <w:p>
            <w:r>
              <w:t>I-04 La carga está concentrada y el volumen no equivale a productividad</w:t>
            </w:r>
          </w:p>
        </w:tc>
        <w:tc>
          <w:tcPr>
            <w:tcW w:type="dxa" w:w="2628"/>
            <w:vAlign w:val="center"/>
          </w:tcPr>
          <w:p>
            <w:r>
              <w:t>Los cinco responsables con más pruebas concentran 64.4% de 6777 pruebas; el coeficiente de</w:t>
            </w:r>
          </w:p>
        </w:tc>
        <w:tc>
          <w:tcPr>
            <w:tcW w:type="dxa" w:w="2628"/>
            <w:vAlign w:val="center"/>
          </w:tcPr>
          <w:p>
            <w:r>
              <w:t xml:space="preserve">Gestionar capacidad con WIP, complejidad y horas disponibles por período; evitar rankings </w:t>
            </w:r>
          </w:p>
        </w:tc>
        <w:tc>
          <w:tcPr>
            <w:tcW w:type="dxa" w:w="2628"/>
            <w:vAlign w:val="center"/>
          </w:tcPr>
          <w:p>
            <w:r>
              <w:t>Alta</w:t>
            </w:r>
          </w:p>
        </w:tc>
      </w:tr>
      <w:tr>
        <w:tc>
          <w:tcPr>
            <w:tcW w:type="dxa" w:w="2628"/>
            <w:vAlign w:val="center"/>
          </w:tcPr>
          <w:p>
            <w:r>
              <w:t>I-05 La automatización observable tiene cobertura limitada</w:t>
            </w:r>
          </w:p>
        </w:tc>
        <w:tc>
          <w:tcPr>
            <w:tcW w:type="dxa" w:w="2628"/>
            <w:vAlign w:val="center"/>
          </w:tcPr>
          <w:p>
            <w:r>
              <w:t>597 de 6777 pruebas (8.81%) figuran Automatizado; 1795 (26.49%) son Automatizable y 333 (4</w:t>
            </w:r>
          </w:p>
        </w:tc>
        <w:tc>
          <w:tcPr>
            <w:tcW w:type="dxa" w:w="2628"/>
            <w:vAlign w:val="center"/>
          </w:tcPr>
          <w:p>
            <w:r>
              <w:t xml:space="preserve">Priorizar candidatos repetitivos y críticos, midiendo ejecuciones, estabilidad y esfuerzo </w:t>
            </w:r>
          </w:p>
        </w:tc>
        <w:tc>
          <w:tcPr>
            <w:tcW w:type="dxa" w:w="2628"/>
            <w:vAlign w:val="center"/>
          </w:tcPr>
          <w:p>
            <w:r>
              <w:t>Media</w:t>
            </w:r>
          </w:p>
        </w:tc>
      </w:tr>
    </w:tbl>
    <w:p>
      <w:pPr>
        <w:pStyle w:val="Heading1"/>
      </w:pPr>
      <w:r>
        <w:t>Próximas acciones</w:t>
      </w:r>
    </w:p>
    <w:p>
      <w:pPr>
        <w:pStyle w:val="ListBullet"/>
      </w:pPr>
      <w:r>
        <w:t>Inmediato: obligatoriedad y auditoría de Defecto Fugado.</w:t>
      </w:r>
    </w:p>
    <w:p>
      <w:pPr>
        <w:pStyle w:val="ListBullet"/>
      </w:pPr>
      <w:r>
        <w:t>2–8 semanas: incorporar changelog y entidad de ejecución.</w:t>
      </w:r>
    </w:p>
    <w:p>
      <w:pPr>
        <w:pStyle w:val="ListBullet"/>
      </w:pPr>
      <w:r>
        <w:t>4 semanas: tablero de capacidad con WIP, horas y complejidad.</w:t>
      </w:r>
    </w:p>
    <w:p>
      <w:pPr>
        <w:pStyle w:val="ListBullet"/>
      </w:pPr>
      <w:r>
        <w:t>8–12 semanas: backlog de automatización priorizado por riesgo y repetición.</w:t>
      </w:r>
    </w:p>
    <w:p>
      <w:r>
        <w:t>Advertencia: volumen de tickets no es productividad; concentración no demuestra sobrecarga; asociaciones no prueban causalidad.</w:t>
      </w:r>
    </w:p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Uso en este reporte</w:t>
            </w:r>
          </w:p>
        </w:tc>
      </w:tr>
      <w:tr>
        <w:tc>
          <w:tcPr>
            <w:tcW w:type="dxa" w:w="5256"/>
            <w:vAlign w:val="center"/>
          </w:tcPr>
          <w:p>
            <w:r>
              <w:t>Key</w:t>
            </w:r>
          </w:p>
        </w:tc>
        <w:tc>
          <w:tcPr>
            <w:tcW w:type="dxa" w:w="5256"/>
            <w:vAlign w:val="center"/>
          </w:tcPr>
          <w:p>
            <w:r>
              <w:t>Identificador único de incidencia.</w:t>
            </w:r>
          </w:p>
        </w:tc>
      </w:tr>
      <w:tr>
        <w:tc>
          <w:tcPr>
            <w:tcW w:type="dxa" w:w="5256"/>
            <w:vAlign w:val="center"/>
          </w:tcPr>
          <w:p>
            <w:r>
              <w:t>WIP</w:t>
            </w:r>
          </w:p>
        </w:tc>
        <w:tc>
          <w:tcPr>
            <w:tcW w:type="dxa" w:w="5256"/>
            <w:vAlign w:val="center"/>
          </w:tcPr>
          <w:p>
            <w:r>
              <w:t>Trabajo en curso.</w:t>
            </w:r>
          </w:p>
        </w:tc>
      </w:tr>
      <w:tr>
        <w:tc>
          <w:tcPr>
            <w:tcW w:type="dxa" w:w="5256"/>
            <w:vAlign w:val="center"/>
          </w:tcPr>
          <w:p>
            <w:r>
              <w:t>Fuga</w:t>
            </w:r>
          </w:p>
        </w:tc>
        <w:tc>
          <w:tcPr>
            <w:tcW w:type="dxa" w:w="5256"/>
            <w:vAlign w:val="center"/>
          </w:tcPr>
          <w:p>
            <w:r>
              <w:t>Defecto detectado fuera del punto de control definido; definición de negocio debe formalizarse.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Análisis QA — fuente: data_alma_historico_1_1_B.xlsx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