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d2129"/>
          <w:sz w:val="21"/>
          <w:szCs w:val="21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color w:val="385898"/>
            <w:sz w:val="21"/>
            <w:szCs w:val="21"/>
            <w:highlight w:val="white"/>
            <w:u w:val="single"/>
            <w:rtl w:val="0"/>
          </w:rPr>
          <w:t xml:space="preserve">https://www.kaggle.com/c/unsw-datasoc-sydney-round/overview</w:t>
        </w:r>
      </w:hyperlink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/unsw-datasoc-sydney-round/overview?fbclid=IwAR2d0913euHZxZJx2-cL57pDwGXyOhU6uh0meOfZ3da5dokyz262MsvFh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