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35" w:type="dxa"/>
        <w:tblLayout w:type="fixed"/>
        <w:tblLook w:val="04A0" w:firstRow="1" w:lastRow="0" w:firstColumn="1" w:lastColumn="0" w:noHBand="0" w:noVBand="1"/>
      </w:tblPr>
      <w:tblGrid>
        <w:gridCol w:w="2070"/>
        <w:gridCol w:w="1165"/>
        <w:gridCol w:w="720"/>
        <w:gridCol w:w="1620"/>
        <w:gridCol w:w="1440"/>
        <w:gridCol w:w="720"/>
      </w:tblGrid>
      <w:tr w:rsidR="00EE207C" w:rsidRPr="00AE71E8" w14:paraId="242E2E0D" w14:textId="77777777" w:rsidTr="007A1E46">
        <w:trPr>
          <w:trHeight w:val="684"/>
        </w:trPr>
        <w:tc>
          <w:tcPr>
            <w:tcW w:w="7735" w:type="dxa"/>
            <w:gridSpan w:val="6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7611CE8F" w14:textId="77777777" w:rsidR="00EE207C" w:rsidRPr="00AE71E8" w:rsidRDefault="00EE207C" w:rsidP="007A1E46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</w:rPr>
              <w:t>Table 3</w:t>
            </w:r>
            <w:r w:rsidRPr="00FA2A79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bookmarkEnd w:id="0"/>
            <w:r>
              <w:rPr>
                <w:rFonts w:ascii="Arial" w:hAnsi="Arial" w:cs="Arial"/>
                <w:color w:val="000000" w:themeColor="text1"/>
              </w:rPr>
              <w:t>Overall summary of f</w:t>
            </w:r>
            <w:r w:rsidRPr="00686DFD">
              <w:rPr>
                <w:rFonts w:ascii="Arial" w:hAnsi="Arial" w:cs="Arial"/>
                <w:color w:val="000000" w:themeColor="text1"/>
              </w:rPr>
              <w:t>ish size, weight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686DFD">
              <w:rPr>
                <w:rFonts w:ascii="Arial" w:hAnsi="Arial" w:cs="Arial"/>
                <w:color w:val="000000" w:themeColor="text1"/>
              </w:rPr>
              <w:t xml:space="preserve"> and length values (</w:t>
            </w:r>
            <w:r w:rsidRPr="00686DFD">
              <w:rPr>
                <w:rFonts w:ascii="Arial" w:eastAsia="Arial" w:hAnsi="Arial" w:cs="Arial"/>
                <w:color w:val="000000" w:themeColor="text1"/>
              </w:rPr>
              <w:t>mean ± SD)</w:t>
            </w:r>
            <w:r w:rsidRPr="00686DFD">
              <w:rPr>
                <w:rFonts w:ascii="Arial" w:hAnsi="Arial" w:cs="Arial"/>
                <w:color w:val="000000" w:themeColor="text1"/>
              </w:rPr>
              <w:t>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</w:rPr>
              <w:t xml:space="preserve"> Coho Salmon were captured in greater numbers than Chinook Salmon in all watersheds except the mainstem Kenai River.  The table summarizes overall catch results found in </w:t>
            </w:r>
            <w:r w:rsidRPr="00305082">
              <w:rPr>
                <w:rFonts w:ascii="Arial" w:hAnsi="Arial" w:cs="Arial"/>
              </w:rPr>
              <w:t>Table S2</w:t>
            </w:r>
            <w:r>
              <w:rPr>
                <w:rFonts w:ascii="Arial" w:hAnsi="Arial" w:cs="Arial"/>
              </w:rPr>
              <w:t xml:space="preserve"> of supplementary information.</w:t>
            </w:r>
          </w:p>
        </w:tc>
      </w:tr>
      <w:tr w:rsidR="00EE207C" w14:paraId="6F7FD97D" w14:textId="77777777" w:rsidTr="007A1E46">
        <w:trPr>
          <w:trHeight w:val="684"/>
        </w:trPr>
        <w:tc>
          <w:tcPr>
            <w:tcW w:w="207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1AA963FE" w14:textId="77777777" w:rsidR="00EE207C" w:rsidRDefault="00EE207C" w:rsidP="007A1E4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Watershed</w:t>
            </w:r>
          </w:p>
        </w:tc>
        <w:tc>
          <w:tcPr>
            <w:tcW w:w="1165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6F6DD4BF" w14:textId="77777777" w:rsidR="00EE207C" w:rsidRDefault="00EE207C" w:rsidP="007A1E4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Species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63879C8B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648D75C2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Mean fork length (mm)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21EB7795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Mean weight (g)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61575C61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</w:t>
            </w:r>
          </w:p>
        </w:tc>
      </w:tr>
      <w:tr w:rsidR="00EE207C" w14:paraId="2051C68A" w14:textId="77777777" w:rsidTr="007A1E46">
        <w:trPr>
          <w:trHeight w:val="304"/>
        </w:trPr>
        <w:tc>
          <w:tcPr>
            <w:tcW w:w="2070" w:type="dxa"/>
            <w:vMerge w:val="restart"/>
            <w:tcBorders>
              <w:top w:val="single" w:sz="18" w:space="0" w:color="auto"/>
            </w:tcBorders>
            <w:shd w:val="clear" w:color="auto" w:fill="auto"/>
            <w:hideMark/>
          </w:tcPr>
          <w:p w14:paraId="16C791F7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Lowland  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Beaver Creek)</w:t>
            </w:r>
          </w:p>
        </w:tc>
        <w:tc>
          <w:tcPr>
            <w:tcW w:w="116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376675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Chinook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62530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818C435" w14:textId="77777777" w:rsidR="00EE207C" w:rsidRPr="00800EF0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0EF0">
              <w:rPr>
                <w:rFonts w:ascii="Arial" w:hAnsi="Arial" w:cs="Arial"/>
                <w:color w:val="000000"/>
                <w:sz w:val="22"/>
                <w:szCs w:val="22"/>
              </w:rPr>
              <w:t>54.3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6.9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2C0A2F" w14:textId="77777777" w:rsidR="00EE207C" w:rsidRPr="00800EF0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0EF0">
              <w:rPr>
                <w:rFonts w:ascii="Arial" w:hAnsi="Arial" w:cs="Arial"/>
                <w:color w:val="000000"/>
                <w:sz w:val="22"/>
                <w:szCs w:val="22"/>
              </w:rPr>
              <w:t xml:space="preserve">1.9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 0.8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98F7A40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203</w:t>
            </w:r>
          </w:p>
        </w:tc>
      </w:tr>
      <w:tr w:rsidR="00EE207C" w14:paraId="79CB311F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7C3A5513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4DEBBE7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DB6C7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DC6852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57.5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10.1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59AE4E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2.3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1.3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4B9CCD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257</w:t>
            </w:r>
          </w:p>
        </w:tc>
      </w:tr>
      <w:tr w:rsidR="00EE207C" w14:paraId="7260CB90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03286B80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0B0BD14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528F38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4D37DB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82.2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11.7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647E3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6.7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2.8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04BAE0D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1132</w:t>
            </w:r>
          </w:p>
        </w:tc>
      </w:tr>
      <w:tr w:rsidR="00EE207C" w14:paraId="197033B3" w14:textId="77777777" w:rsidTr="007A1E46">
        <w:trPr>
          <w:trHeight w:val="304"/>
        </w:trPr>
        <w:tc>
          <w:tcPr>
            <w:tcW w:w="2070" w:type="dxa"/>
            <w:vMerge w:val="restart"/>
            <w:shd w:val="clear" w:color="auto" w:fill="auto"/>
            <w:hideMark/>
          </w:tcPr>
          <w:p w14:paraId="066E3EEA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Montane (Russian River)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E705293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Chinook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1CBAC0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735406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56.2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9.4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0F565E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2.2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53DDC8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EE207C" w14:paraId="0E2C34EC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007C1F0A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4BF8146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1CF2E94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43AA211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53.9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7.8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68548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7ED7D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821</w:t>
            </w:r>
          </w:p>
        </w:tc>
      </w:tr>
      <w:tr w:rsidR="00EE207C" w14:paraId="0A12435B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50F6E9F8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B7ABDB1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CBE6AD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F5D373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77.4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12.4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1D0870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2.7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2D96C08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219</w:t>
            </w:r>
          </w:p>
        </w:tc>
      </w:tr>
      <w:tr w:rsidR="00EE207C" w14:paraId="329B4AFB" w14:textId="77777777" w:rsidTr="007A1E46">
        <w:trPr>
          <w:trHeight w:val="304"/>
        </w:trPr>
        <w:tc>
          <w:tcPr>
            <w:tcW w:w="2070" w:type="dxa"/>
            <w:vMerge w:val="restart"/>
            <w:shd w:val="clear" w:color="auto" w:fill="auto"/>
            <w:hideMark/>
          </w:tcPr>
          <w:p w14:paraId="79AEA25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Glacial (Ptarmigan Creek)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B97E5B6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Chinook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D5450C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ACD8EF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70.9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7.7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0B2A75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4.1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76897FA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EE207C" w14:paraId="583C4333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0A984E03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FF57FDE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3712A8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3D39AE9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61.1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8.4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EABB5A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225C51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92</w:t>
            </w:r>
          </w:p>
        </w:tc>
      </w:tr>
      <w:tr w:rsidR="00EE207C" w14:paraId="20E7E354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1AEAE914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0FC5DD0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CA7BB39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9C6383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82.6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11.4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66C2BD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2.8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4987B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292</w:t>
            </w:r>
          </w:p>
        </w:tc>
      </w:tr>
      <w:tr w:rsidR="00EE207C" w14:paraId="238CDAC8" w14:textId="77777777" w:rsidTr="007A1E46">
        <w:trPr>
          <w:trHeight w:val="304"/>
        </w:trPr>
        <w:tc>
          <w:tcPr>
            <w:tcW w:w="2070" w:type="dxa"/>
            <w:vMerge w:val="restart"/>
            <w:shd w:val="clear" w:color="auto" w:fill="auto"/>
            <w:hideMark/>
          </w:tcPr>
          <w:p w14:paraId="7B08C662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Main Stem (Kenai River)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AAF98A3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Chinook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7F6294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AF5BEE6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55.8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8.4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A9766A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3099E6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840</w:t>
            </w:r>
          </w:p>
        </w:tc>
      </w:tr>
      <w:tr w:rsidR="00EE207C" w14:paraId="39DC3A59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6DB1F668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F46E61F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DF7144B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D263B4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48.3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4.9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47BDC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1.3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48E09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276</w:t>
            </w:r>
          </w:p>
        </w:tc>
      </w:tr>
      <w:tr w:rsidR="00EE207C" w14:paraId="24818491" w14:textId="77777777" w:rsidTr="007A1E46">
        <w:trPr>
          <w:trHeight w:val="304"/>
        </w:trPr>
        <w:tc>
          <w:tcPr>
            <w:tcW w:w="2070" w:type="dxa"/>
            <w:vMerge/>
            <w:tcBorders>
              <w:bottom w:val="single" w:sz="18" w:space="0" w:color="auto"/>
            </w:tcBorders>
            <w:vAlign w:val="center"/>
            <w:hideMark/>
          </w:tcPr>
          <w:p w14:paraId="50B74518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E27E9D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9201F29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581E5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79.6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14.3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F91D80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6.1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3.1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18B917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</w:tbl>
    <w:p w14:paraId="17C78705" w14:textId="77777777" w:rsidR="00EE207C" w:rsidRDefault="00EE207C" w:rsidP="00EE207C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5C938436" w14:textId="77777777" w:rsidR="00EE207C" w:rsidRDefault="00EE207C" w:rsidP="00EE207C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194CB29" w14:textId="77777777" w:rsidR="00E63D48" w:rsidRDefault="00E63D48" w:rsidP="00E63D48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442B917" w14:textId="77777777" w:rsidR="00E63D48" w:rsidRDefault="00E63D48" w:rsidP="00E63D48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7EC36EFC" w14:textId="77777777" w:rsidR="00E63D48" w:rsidRDefault="00E63D48" w:rsidP="00E63D48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2A85AC44" w14:textId="77777777" w:rsidR="00E63D48" w:rsidRDefault="00E63D48" w:rsidP="00E63D48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06FF90D5" w14:textId="77777777" w:rsidR="00E63D48" w:rsidRDefault="00E63D48" w:rsidP="00E63D48">
      <w:pPr>
        <w:spacing w:line="480" w:lineRule="auto"/>
        <w:contextualSpacing/>
        <w:rPr>
          <w:rFonts w:ascii="Arial" w:hAnsi="Arial" w:cs="Arial"/>
        </w:rPr>
      </w:pPr>
    </w:p>
    <w:p w14:paraId="1563EA10" w14:textId="77777777" w:rsidR="00E63D48" w:rsidRDefault="00E63D48" w:rsidP="00E63D48"/>
    <w:p w14:paraId="28936422" w14:textId="77777777" w:rsidR="005413B7" w:rsidRDefault="006C0D44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BB0D1" w16cex:dateUtc="2022-04-09T15:14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8"/>
    <w:rsid w:val="000E7BCE"/>
    <w:rsid w:val="00167AA4"/>
    <w:rsid w:val="002874AD"/>
    <w:rsid w:val="002E7DA7"/>
    <w:rsid w:val="002F171E"/>
    <w:rsid w:val="003373FE"/>
    <w:rsid w:val="0035230B"/>
    <w:rsid w:val="0037165D"/>
    <w:rsid w:val="00445C95"/>
    <w:rsid w:val="004D191B"/>
    <w:rsid w:val="004D6561"/>
    <w:rsid w:val="004D74C0"/>
    <w:rsid w:val="004F5C2A"/>
    <w:rsid w:val="00662909"/>
    <w:rsid w:val="006A288F"/>
    <w:rsid w:val="006C0D44"/>
    <w:rsid w:val="006C4F54"/>
    <w:rsid w:val="007722AF"/>
    <w:rsid w:val="007C30F0"/>
    <w:rsid w:val="007D4BAA"/>
    <w:rsid w:val="00803F86"/>
    <w:rsid w:val="00820E5F"/>
    <w:rsid w:val="008764E7"/>
    <w:rsid w:val="0094055A"/>
    <w:rsid w:val="009857BA"/>
    <w:rsid w:val="009B678C"/>
    <w:rsid w:val="00A7013F"/>
    <w:rsid w:val="00B111E9"/>
    <w:rsid w:val="00B3029C"/>
    <w:rsid w:val="00B3769E"/>
    <w:rsid w:val="00B62D13"/>
    <w:rsid w:val="00BB6018"/>
    <w:rsid w:val="00C161CE"/>
    <w:rsid w:val="00D3054E"/>
    <w:rsid w:val="00D5796D"/>
    <w:rsid w:val="00E43C06"/>
    <w:rsid w:val="00E63D48"/>
    <w:rsid w:val="00ED77DD"/>
    <w:rsid w:val="00EE207C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0FA8"/>
  <w15:chartTrackingRefBased/>
  <w15:docId w15:val="{5AF04C0D-98C3-A145-8A10-43E57B40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D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4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1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9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9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9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D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4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</cp:lastModifiedBy>
  <cp:revision>6</cp:revision>
  <dcterms:created xsi:type="dcterms:W3CDTF">2022-02-12T19:42:00Z</dcterms:created>
  <dcterms:modified xsi:type="dcterms:W3CDTF">2022-10-24T06:39:00Z</dcterms:modified>
</cp:coreProperties>
</file>