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1214" w14:textId="77777777" w:rsidR="00BE779F" w:rsidRDefault="00BE779F" w:rsidP="00BE779F">
      <w:pPr>
        <w:spacing w:line="480" w:lineRule="auto"/>
        <w:contextualSpacing/>
        <w:rPr>
          <w:rFonts w:ascii="Arial" w:hAnsi="Arial" w:cs="Arial"/>
          <w:b/>
          <w:bCs/>
        </w:rPr>
      </w:pPr>
      <w:r w:rsidRPr="00D82CA4">
        <w:rPr>
          <w:rFonts w:ascii="Arial" w:hAnsi="Arial" w:cs="Arial"/>
          <w:b/>
          <w:bCs/>
        </w:rPr>
        <w:t>Figure Captions</w:t>
      </w:r>
    </w:p>
    <w:p w14:paraId="70A65624" w14:textId="77777777" w:rsidR="00BE779F" w:rsidRPr="0077058F" w:rsidRDefault="00BE779F" w:rsidP="00BE779F">
      <w:pPr>
        <w:spacing w:line="480" w:lineRule="auto"/>
        <w:contextualSpacing/>
        <w:rPr>
          <w:rFonts w:ascii="Arial" w:hAnsi="Arial" w:cs="Arial"/>
          <w:color w:val="000000" w:themeColor="text1"/>
        </w:rPr>
      </w:pPr>
      <w:r w:rsidRPr="0077058F">
        <w:rPr>
          <w:rFonts w:ascii="Arial" w:hAnsi="Arial" w:cs="Arial"/>
          <w:color w:val="000000" w:themeColor="text1"/>
        </w:rPr>
        <w:t xml:space="preserve">Figure </w:t>
      </w:r>
      <w:r w:rsidRPr="0077058F">
        <w:rPr>
          <w:rFonts w:ascii="Arial" w:hAnsi="Arial" w:cs="Arial"/>
          <w:color w:val="000000" w:themeColor="text1"/>
        </w:rPr>
        <w:fldChar w:fldCharType="begin"/>
      </w:r>
      <w:r w:rsidRPr="0077058F">
        <w:rPr>
          <w:rFonts w:ascii="Arial" w:hAnsi="Arial" w:cs="Arial"/>
          <w:color w:val="000000" w:themeColor="text1"/>
        </w:rPr>
        <w:instrText xml:space="preserve"> SEQ Figure \* ARABIC </w:instrText>
      </w:r>
      <w:r w:rsidRPr="0077058F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1</w:t>
      </w:r>
      <w:r w:rsidRPr="0077058F">
        <w:rPr>
          <w:rFonts w:ascii="Arial" w:hAnsi="Arial" w:cs="Arial"/>
          <w:color w:val="000000" w:themeColor="text1"/>
        </w:rPr>
        <w:fldChar w:fldCharType="end"/>
      </w:r>
      <w:r w:rsidRPr="0077058F">
        <w:rPr>
          <w:rFonts w:ascii="Arial" w:hAnsi="Arial" w:cs="Arial"/>
          <w:color w:val="000000" w:themeColor="text1"/>
        </w:rPr>
        <w:t xml:space="preserve">. Map of Kenai River watershed with study tributaries and fish sampling sites highlighted. Map modified from </w:t>
      </w:r>
      <w:r w:rsidRPr="0077058F">
        <w:rPr>
          <w:rFonts w:ascii="Arial" w:hAnsi="Arial" w:cs="Arial"/>
          <w:noProof/>
          <w:color w:val="000000" w:themeColor="text1"/>
        </w:rPr>
        <w:t>Schoen et al. (2017)</w:t>
      </w:r>
      <w:r w:rsidRPr="0077058F">
        <w:rPr>
          <w:rFonts w:ascii="Arial" w:hAnsi="Arial" w:cs="Arial"/>
          <w:color w:val="000000" w:themeColor="text1"/>
        </w:rPr>
        <w:t>.</w:t>
      </w:r>
    </w:p>
    <w:p w14:paraId="38438ADB" w14:textId="77777777" w:rsidR="00BE779F" w:rsidRPr="0077058F" w:rsidRDefault="00BE779F" w:rsidP="00BE779F">
      <w:pPr>
        <w:spacing w:line="480" w:lineRule="auto"/>
        <w:contextualSpacing/>
        <w:rPr>
          <w:rFonts w:ascii="Arial" w:hAnsi="Arial" w:cs="Arial"/>
          <w:color w:val="000000" w:themeColor="text1"/>
        </w:rPr>
      </w:pPr>
    </w:p>
    <w:p w14:paraId="1232BD11" w14:textId="2FB46D73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77058F">
        <w:rPr>
          <w:rFonts w:ascii="Arial" w:hAnsi="Arial" w:cs="Arial"/>
        </w:rPr>
        <w:t>Figure 2.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Schematic of inputs and outputs used in bioenergetics modeling to estimate fish growth under future scenarios.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Field data from 2015-2016 were used as inputs in season-length simulations of growth under current </w:t>
      </w:r>
      <w:proofErr w:type="gramStart"/>
      <w:r w:rsidRPr="0077058F">
        <w:rPr>
          <w:rFonts w:ascii="Arial" w:hAnsi="Arial" w:cs="Arial"/>
        </w:rPr>
        <w:t>conditions, and</w:t>
      </w:r>
      <w:proofErr w:type="gramEnd"/>
      <w:r w:rsidRPr="0077058F">
        <w:rPr>
          <w:rFonts w:ascii="Arial" w:hAnsi="Arial" w:cs="Arial"/>
        </w:rPr>
        <w:t xml:space="preserve"> feeding rate (p-value; or proportion of theoretical maximum consumption) estimates were output.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Next, future simulations were fit to a range of consumption scenarios scaled relative to these current feeding rates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Water temperature inputs for future scenarios were based on empirical air-water sensitivity relationships and air temperature projections from downscaled climate models.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The term “</w:t>
      </w:r>
      <w:r>
        <w:rPr>
          <w:rFonts w:ascii="Arial" w:hAnsi="Arial" w:cs="Arial"/>
          <w:color w:val="000000" w:themeColor="text1"/>
          <w:shd w:val="clear" w:color="auto" w:fill="FFFFFF"/>
        </w:rPr>
        <w:t>cohort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 xml:space="preserve">” in the figure refers to a unique combination of site, fish species (Chinook or </w:t>
      </w:r>
      <w:r>
        <w:rPr>
          <w:rFonts w:ascii="Arial" w:hAnsi="Arial" w:cs="Arial"/>
          <w:color w:val="000000" w:themeColor="text1"/>
          <w:shd w:val="clear" w:color="auto" w:fill="FFFFFF"/>
        </w:rPr>
        <w:t>C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 xml:space="preserve">oho </w:t>
      </w:r>
      <w:r w:rsidR="008C3F9B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almon), and fish age (age</w:t>
      </w:r>
      <w:r>
        <w:rPr>
          <w:rFonts w:ascii="Arial" w:hAnsi="Arial" w:cs="Arial"/>
          <w:color w:val="000000" w:themeColor="text1"/>
          <w:shd w:val="clear" w:color="auto" w:fill="FFFFFF"/>
        </w:rPr>
        <w:t>-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0 or 1).</w:t>
      </w:r>
    </w:p>
    <w:p w14:paraId="3F8BEFEB" w14:textId="77777777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767FF3CB" w14:textId="34E797CF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>Figure 3</w:t>
      </w:r>
      <w:r>
        <w:rPr>
          <w:rFonts w:ascii="Arial" w:hAnsi="Arial" w:cs="Arial"/>
        </w:rPr>
        <w:t xml:space="preserve">. </w:t>
      </w:r>
      <w:r w:rsidRPr="0077058F">
        <w:rPr>
          <w:rFonts w:ascii="Arial" w:hAnsi="Arial" w:cs="Arial"/>
        </w:rPr>
        <w:t>Observed water temperatures by site and year</w:t>
      </w:r>
      <w:r w:rsidR="00EE4041">
        <w:rPr>
          <w:rFonts w:ascii="Arial" w:hAnsi="Arial" w:cs="Arial"/>
        </w:rPr>
        <w:t xml:space="preserve"> (observations at 0.25 hour intervals)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Water temperatures shown include those from the subset of time common to all sites and years, June 1</w:t>
      </w:r>
      <w:r w:rsidRPr="0077058F">
        <w:rPr>
          <w:rFonts w:ascii="Arial" w:hAnsi="Arial" w:cs="Arial"/>
          <w:vertAlign w:val="superscript"/>
        </w:rPr>
        <w:t>st</w:t>
      </w:r>
      <w:r w:rsidRPr="007705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77058F">
        <w:rPr>
          <w:rFonts w:ascii="Arial" w:hAnsi="Arial" w:cs="Arial"/>
        </w:rPr>
        <w:t xml:space="preserve"> August 20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>.</w:t>
      </w:r>
      <w:r w:rsidR="00EE4041">
        <w:rPr>
          <w:rFonts w:ascii="Arial" w:hAnsi="Arial" w:cs="Arial"/>
        </w:rPr>
        <w:t xml:space="preserve"> Mid-lines in each box represent median temperatures, with lower and upper boxes corresponding to lower and upper quartiles. Vertical lines correspond to minimum and maximum observations, and point representing outliers.</w:t>
      </w:r>
    </w:p>
    <w:p w14:paraId="25B8A264" w14:textId="77777777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373AA2AE" w14:textId="0EBDF265" w:rsidR="00BE779F" w:rsidRDefault="00BE779F" w:rsidP="00BE779F">
      <w:pPr>
        <w:spacing w:line="480" w:lineRule="auto"/>
        <w:rPr>
          <w:rFonts w:ascii="Arial" w:hAnsi="Arial" w:cs="Arial"/>
        </w:rPr>
      </w:pPr>
      <w:r w:rsidRPr="00D55545">
        <w:rPr>
          <w:rFonts w:ascii="Arial" w:hAnsi="Arial" w:cs="Arial"/>
        </w:rPr>
        <w:t xml:space="preserve">Figure 4. </w:t>
      </w:r>
      <w:r>
        <w:rPr>
          <w:rFonts w:ascii="Arial" w:hAnsi="Arial" w:cs="Arial"/>
        </w:rPr>
        <w:t xml:space="preserve">Linear regressions fit to weekly mean air and water temperature values for each site (lower, middle, and upper reaches of each study watershed). Statistically </w:t>
      </w:r>
      <w:r>
        <w:rPr>
          <w:rFonts w:ascii="Arial" w:hAnsi="Arial" w:cs="Arial"/>
        </w:rPr>
        <w:lastRenderedPageBreak/>
        <w:t>significant relationships (</w:t>
      </w:r>
      <w:r w:rsidRPr="000B0E0D"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>&lt; 0.05) are shown with a trend line and 95% confidence band. Model output and estimates for individual regressions are available in supplementary table S4.</w:t>
      </w:r>
    </w:p>
    <w:p w14:paraId="2808BAED" w14:textId="77777777" w:rsidR="00D8618F" w:rsidRDefault="00D8618F" w:rsidP="00BE779F">
      <w:pPr>
        <w:spacing w:line="480" w:lineRule="auto"/>
      </w:pPr>
    </w:p>
    <w:p w14:paraId="5F7FCA92" w14:textId="051F8F68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>Figure 5.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Observed and modeled water temperature (monthly means, May-September) for each site and period.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Modeled monthly mean temperature values shown are from the RCP 8.5 (rapid increase CO</w:t>
      </w:r>
      <w:r w:rsidRPr="0077058F">
        <w:rPr>
          <w:rFonts w:ascii="Arial" w:hAnsi="Arial" w:cs="Arial"/>
          <w:vertAlign w:val="subscript"/>
        </w:rPr>
        <w:t>2</w:t>
      </w:r>
      <w:r w:rsidRPr="0077058F">
        <w:rPr>
          <w:rFonts w:ascii="Arial" w:hAnsi="Arial" w:cs="Arial"/>
        </w:rPr>
        <w:t xml:space="preserve"> emissions) scenario.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Monthly means were not significantly different between the RCP 6.0 (mid-range CO</w:t>
      </w:r>
      <w:r w:rsidRPr="0077058F">
        <w:rPr>
          <w:rFonts w:ascii="Arial" w:hAnsi="Arial" w:cs="Arial"/>
          <w:vertAlign w:val="subscript"/>
        </w:rPr>
        <w:t>2</w:t>
      </w:r>
      <w:r w:rsidRPr="0077058F">
        <w:rPr>
          <w:rFonts w:ascii="Arial" w:hAnsi="Arial" w:cs="Arial"/>
        </w:rPr>
        <w:t xml:space="preserve"> emissions) and RCP 8.5 climate scenarios. (Wilcoxon rank-sum, </w:t>
      </w:r>
      <w:r w:rsidRPr="000B0E0D">
        <w:rPr>
          <w:rFonts w:ascii="Arial" w:hAnsi="Arial" w:cs="Arial"/>
          <w:i/>
          <w:iCs/>
        </w:rPr>
        <w:t xml:space="preserve">p </w:t>
      </w:r>
      <w:r w:rsidRPr="0077058F">
        <w:rPr>
          <w:rFonts w:ascii="Arial" w:hAnsi="Arial" w:cs="Arial"/>
        </w:rPr>
        <w:t xml:space="preserve">= 0.46, </w:t>
      </w:r>
      <w:r w:rsidRPr="000B0E0D">
        <w:rPr>
          <w:rFonts w:ascii="Arial" w:hAnsi="Arial" w:cs="Arial"/>
          <w:i/>
          <w:iCs/>
        </w:rPr>
        <w:t xml:space="preserve">W </w:t>
      </w:r>
      <w:r w:rsidRPr="0077058F">
        <w:rPr>
          <w:rFonts w:ascii="Arial" w:hAnsi="Arial" w:cs="Arial"/>
        </w:rPr>
        <w:t>= 12971) and only the RCP 8.5 scenario is shown here.</w:t>
      </w:r>
    </w:p>
    <w:p w14:paraId="448B2951" w14:textId="77777777" w:rsidR="00BE779F" w:rsidRPr="0077058F" w:rsidRDefault="00BE779F" w:rsidP="00BE779F">
      <w:pPr>
        <w:spacing w:line="480" w:lineRule="auto"/>
      </w:pPr>
    </w:p>
    <w:p w14:paraId="29BCDFF2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6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Overall diet proportions segregated by population and drainage.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Prey category values are calculated from mean dry mass.</w:t>
      </w:r>
    </w:p>
    <w:p w14:paraId="4DE80062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</w:p>
    <w:p w14:paraId="586395A7" w14:textId="5AB79ACE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7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Final mean size (g) on August 6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 xml:space="preserve"> for fish populations by age and species</w:t>
      </w:r>
      <w:r>
        <w:rPr>
          <w:rFonts w:ascii="Arial" w:hAnsi="Arial" w:cs="Arial"/>
        </w:rPr>
        <w:t xml:space="preserve"> from 2015 and 2016 data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Error bars indicate the maximum and minimum values for all years and </w:t>
      </w:r>
      <w:r>
        <w:rPr>
          <w:rFonts w:ascii="Arial" w:hAnsi="Arial" w:cs="Arial"/>
        </w:rPr>
        <w:t>cohorts</w:t>
      </w:r>
      <w:r w:rsidRPr="0077058F">
        <w:rPr>
          <w:rFonts w:ascii="Arial" w:hAnsi="Arial" w:cs="Arial"/>
        </w:rPr>
        <w:t xml:space="preserve"> within a drainage.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Error bars are missing when a small range of minimum and maximum values are obscured behind the point.</w:t>
      </w:r>
      <w:r w:rsidR="008C3E2A">
        <w:rPr>
          <w:rFonts w:ascii="Arial" w:hAnsi="Arial" w:cs="Arial"/>
        </w:rPr>
        <w:t xml:space="preserve"> Lowland stream is Beaver Creek, Montane is Russian River, Glacial is Ptarmigan Creek, and Mainstem is </w:t>
      </w:r>
      <w:r w:rsidR="004A7755">
        <w:rPr>
          <w:rFonts w:ascii="Arial" w:hAnsi="Arial" w:cs="Arial"/>
        </w:rPr>
        <w:t xml:space="preserve">the </w:t>
      </w:r>
      <w:r w:rsidR="008C3E2A">
        <w:rPr>
          <w:rFonts w:ascii="Arial" w:hAnsi="Arial" w:cs="Arial"/>
        </w:rPr>
        <w:t>Kenai River.</w:t>
      </w:r>
    </w:p>
    <w:p w14:paraId="7F7110A4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</w:p>
    <w:p w14:paraId="2F984FC7" w14:textId="77777777" w:rsidR="00BE779F" w:rsidRPr="000E1DF6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8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Mean change in simulated juvenile salmon size at end of summer (Sept 4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>) relative to 2010-2019, based on RCP 8.5 emissions scenarios, ranging from +2.6% to -</w:t>
      </w:r>
      <w:r w:rsidRPr="0077058F">
        <w:rPr>
          <w:rFonts w:ascii="Arial" w:hAnsi="Arial" w:cs="Arial"/>
        </w:rPr>
        <w:lastRenderedPageBreak/>
        <w:t>23.3%.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Consumption scenarios indicate mean or </w:t>
      </w:r>
      <w:r w:rsidRPr="0077058F">
        <w:rPr>
          <w:rFonts w:ascii="Arial" w:eastAsia="Arial" w:hAnsi="Arial" w:cs="Arial"/>
        </w:rPr>
        <w:t>± 20% of observed feeding rate.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Error bars are standard deviation among multiple sites within a watershed.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Absence of error bars indicates only one site within a watershed had sufficient population data to perform simulations.</w:t>
      </w:r>
      <w:r>
        <w:rPr>
          <w:rFonts w:ascii="Arial" w:hAnsi="Arial" w:cs="Arial"/>
        </w:rPr>
        <w:t xml:space="preserve"> </w:t>
      </w:r>
      <w:r w:rsidRPr="00BE1E48">
        <w:rPr>
          <w:rFonts w:ascii="Arial" w:hAnsi="Arial" w:cs="Arial"/>
        </w:rPr>
        <w:t>See Table S5 for</w:t>
      </w:r>
      <w:r w:rsidRPr="0077058F">
        <w:rPr>
          <w:rFonts w:ascii="Arial" w:hAnsi="Arial" w:cs="Arial"/>
        </w:rPr>
        <w:t xml:space="preserve"> full complete results of percent change in simulated size relative to 2010-2019.</w:t>
      </w:r>
    </w:p>
    <w:p w14:paraId="6155159D" w14:textId="77777777" w:rsidR="005413B7" w:rsidRDefault="00000000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D7"/>
    <w:rsid w:val="000E7BCE"/>
    <w:rsid w:val="00167AA4"/>
    <w:rsid w:val="002E7DA7"/>
    <w:rsid w:val="002F171E"/>
    <w:rsid w:val="003373FE"/>
    <w:rsid w:val="0035230B"/>
    <w:rsid w:val="0037165D"/>
    <w:rsid w:val="00445C95"/>
    <w:rsid w:val="004A7755"/>
    <w:rsid w:val="004D6561"/>
    <w:rsid w:val="004D74C0"/>
    <w:rsid w:val="004F5C2A"/>
    <w:rsid w:val="005529D7"/>
    <w:rsid w:val="00662909"/>
    <w:rsid w:val="006A288F"/>
    <w:rsid w:val="006C4F54"/>
    <w:rsid w:val="007722AF"/>
    <w:rsid w:val="007C30F0"/>
    <w:rsid w:val="007D4BAA"/>
    <w:rsid w:val="00803F86"/>
    <w:rsid w:val="00820E5F"/>
    <w:rsid w:val="008764E7"/>
    <w:rsid w:val="008C3E2A"/>
    <w:rsid w:val="008C3F9B"/>
    <w:rsid w:val="0094055A"/>
    <w:rsid w:val="009857BA"/>
    <w:rsid w:val="009B678C"/>
    <w:rsid w:val="00A7013F"/>
    <w:rsid w:val="00B111E9"/>
    <w:rsid w:val="00B3029C"/>
    <w:rsid w:val="00B3769E"/>
    <w:rsid w:val="00B55A51"/>
    <w:rsid w:val="00B62D13"/>
    <w:rsid w:val="00BB6018"/>
    <w:rsid w:val="00BE779F"/>
    <w:rsid w:val="00C161CE"/>
    <w:rsid w:val="00D3054E"/>
    <w:rsid w:val="00D5796D"/>
    <w:rsid w:val="00D8618F"/>
    <w:rsid w:val="00E43C06"/>
    <w:rsid w:val="00EC0B87"/>
    <w:rsid w:val="00ED77DD"/>
    <w:rsid w:val="00EE4041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A305"/>
  <w15:chartTrackingRefBased/>
  <w15:docId w15:val="{748BAF7C-B78D-1742-BBDB-B8AECBC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6</cp:revision>
  <dcterms:created xsi:type="dcterms:W3CDTF">2022-02-11T16:45:00Z</dcterms:created>
  <dcterms:modified xsi:type="dcterms:W3CDTF">2022-06-29T08:28:00Z</dcterms:modified>
</cp:coreProperties>
</file>