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FA49" w14:textId="77777777" w:rsidR="0078169A" w:rsidRPr="009B4644" w:rsidRDefault="0078169A" w:rsidP="0078169A">
      <w:pPr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</w:rPr>
        <w:t>Table 4</w:t>
      </w:r>
      <w:r w:rsidRPr="00FA2A79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 xml:space="preserve">Overall summary of results for percent change in mass at end of summer growth simulation relative to 2010 – 2019 simulations; for all fish cohorts under all diet and climate scenarios (mean </w:t>
      </w:r>
      <w:r w:rsidRPr="009B4644">
        <w:rPr>
          <w:rFonts w:ascii="Arial" w:eastAsia="Arial" w:hAnsi="Arial" w:cs="Arial"/>
          <w:sz w:val="22"/>
          <w:szCs w:val="22"/>
        </w:rPr>
        <w:t>±</w:t>
      </w:r>
      <w:r>
        <w:rPr>
          <w:rFonts w:ascii="Arial" w:eastAsia="Arial" w:hAnsi="Arial" w:cs="Arial"/>
          <w:sz w:val="22"/>
          <w:szCs w:val="22"/>
        </w:rPr>
        <w:t xml:space="preserve"> SD)</w:t>
      </w:r>
      <w:r>
        <w:rPr>
          <w:rFonts w:ascii="Arial" w:hAnsi="Arial" w:cs="Arial"/>
          <w:color w:val="000000" w:themeColor="text1"/>
        </w:rPr>
        <w:t>. Full results for each cohort and scenario in Supplementary Information Table S5.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1517"/>
        <w:gridCol w:w="490"/>
        <w:gridCol w:w="1953"/>
        <w:gridCol w:w="1260"/>
        <w:gridCol w:w="1170"/>
      </w:tblGrid>
      <w:tr w:rsidR="0078169A" w:rsidRPr="00B32742" w14:paraId="589BFD51" w14:textId="77777777" w:rsidTr="007A1E46">
        <w:tc>
          <w:tcPr>
            <w:tcW w:w="2700" w:type="dxa"/>
            <w:tcBorders>
              <w:top w:val="single" w:sz="18" w:space="0" w:color="auto"/>
              <w:bottom w:val="single" w:sz="4" w:space="0" w:color="auto"/>
            </w:tcBorders>
          </w:tcPr>
          <w:p w14:paraId="4AF99491" w14:textId="77777777" w:rsidR="0078169A" w:rsidRPr="009B4644" w:rsidRDefault="0078169A" w:rsidP="007A1E46">
            <w:pPr>
              <w:contextualSpacing/>
              <w:jc w:val="center"/>
              <w:rPr>
                <w:rFonts w:ascii="Arial" w:hAnsi="Arial" w:cs="Arial"/>
              </w:rPr>
            </w:pPr>
            <w:r w:rsidRPr="009B4644">
              <w:rPr>
                <w:rFonts w:ascii="Calibri" w:eastAsiaTheme="minorHAnsi" w:hAnsi="Calibri" w:cs="Calibri"/>
                <w:color w:val="000000"/>
              </w:rPr>
              <w:t>Watershed</w:t>
            </w:r>
          </w:p>
        </w:tc>
        <w:tc>
          <w:tcPr>
            <w:tcW w:w="1517" w:type="dxa"/>
            <w:tcBorders>
              <w:top w:val="single" w:sz="18" w:space="0" w:color="auto"/>
              <w:bottom w:val="single" w:sz="4" w:space="0" w:color="auto"/>
            </w:tcBorders>
          </w:tcPr>
          <w:p w14:paraId="63C5548B" w14:textId="77777777" w:rsidR="0078169A" w:rsidRPr="009B4644" w:rsidRDefault="0078169A" w:rsidP="007A1E46">
            <w:pPr>
              <w:contextualSpacing/>
              <w:jc w:val="center"/>
              <w:rPr>
                <w:rFonts w:ascii="Arial" w:hAnsi="Arial" w:cs="Arial"/>
              </w:rPr>
            </w:pPr>
            <w:r w:rsidRPr="009B4644">
              <w:rPr>
                <w:rFonts w:ascii="Arial" w:hAnsi="Arial" w:cs="Arial"/>
              </w:rPr>
              <w:t xml:space="preserve">Simulation </w:t>
            </w:r>
            <w:r>
              <w:rPr>
                <w:rFonts w:ascii="Arial" w:hAnsi="Arial" w:cs="Arial"/>
              </w:rPr>
              <w:t>p</w:t>
            </w:r>
            <w:r w:rsidRPr="009B4644">
              <w:rPr>
                <w:rFonts w:ascii="Arial" w:hAnsi="Arial" w:cs="Arial"/>
              </w:rPr>
              <w:t>eriod</w:t>
            </w:r>
          </w:p>
        </w:tc>
        <w:tc>
          <w:tcPr>
            <w:tcW w:w="490" w:type="dxa"/>
            <w:tcBorders>
              <w:top w:val="single" w:sz="18" w:space="0" w:color="auto"/>
              <w:bottom w:val="single" w:sz="4" w:space="0" w:color="auto"/>
            </w:tcBorders>
          </w:tcPr>
          <w:p w14:paraId="2449387B" w14:textId="77777777" w:rsidR="0078169A" w:rsidRPr="009B4644" w:rsidRDefault="0078169A" w:rsidP="007A1E46">
            <w:pPr>
              <w:contextualSpacing/>
              <w:jc w:val="center"/>
              <w:rPr>
                <w:rFonts w:ascii="Arial" w:hAnsi="Arial" w:cs="Arial"/>
              </w:rPr>
            </w:pPr>
            <w:r w:rsidRPr="009B4644">
              <w:rPr>
                <w:rFonts w:ascii="Calibri" w:eastAsiaTheme="minorHAnsi" w:hAnsi="Calibri" w:cs="Calibri"/>
                <w:color w:val="000000"/>
              </w:rPr>
              <w:t>n</w:t>
            </w:r>
          </w:p>
        </w:tc>
        <w:tc>
          <w:tcPr>
            <w:tcW w:w="1953" w:type="dxa"/>
            <w:tcBorders>
              <w:top w:val="single" w:sz="18" w:space="0" w:color="auto"/>
              <w:bottom w:val="single" w:sz="4" w:space="0" w:color="auto"/>
            </w:tcBorders>
          </w:tcPr>
          <w:p w14:paraId="28089450" w14:textId="77777777" w:rsidR="0078169A" w:rsidRPr="009B4644" w:rsidRDefault="0078169A" w:rsidP="007A1E46">
            <w:pPr>
              <w:contextualSpacing/>
              <w:jc w:val="center"/>
              <w:rPr>
                <w:rFonts w:ascii="Arial" w:hAnsi="Arial" w:cs="Arial"/>
              </w:rPr>
            </w:pPr>
            <w:r w:rsidRPr="009B4644">
              <w:rPr>
                <w:rFonts w:ascii="Calibri" w:eastAsiaTheme="minorHAnsi" w:hAnsi="Calibri" w:cs="Calibri"/>
                <w:color w:val="000000"/>
              </w:rPr>
              <w:t xml:space="preserve">Mean </w:t>
            </w:r>
            <w:r w:rsidRPr="009B4644">
              <w:rPr>
                <w:rFonts w:ascii="Arial" w:eastAsia="Arial" w:hAnsi="Arial" w:cs="Arial"/>
                <w:sz w:val="22"/>
                <w:szCs w:val="22"/>
              </w:rPr>
              <w:t>± SD</w:t>
            </w:r>
          </w:p>
        </w:tc>
        <w:tc>
          <w:tcPr>
            <w:tcW w:w="1260" w:type="dxa"/>
            <w:tcBorders>
              <w:top w:val="single" w:sz="18" w:space="0" w:color="auto"/>
              <w:bottom w:val="single" w:sz="4" w:space="0" w:color="auto"/>
            </w:tcBorders>
          </w:tcPr>
          <w:p w14:paraId="6C2E7B6E" w14:textId="77777777" w:rsidR="0078169A" w:rsidRPr="009B4644" w:rsidRDefault="0078169A" w:rsidP="007A1E46">
            <w:pPr>
              <w:contextualSpacing/>
              <w:jc w:val="center"/>
              <w:rPr>
                <w:rFonts w:ascii="Arial" w:hAnsi="Arial" w:cs="Arial"/>
              </w:rPr>
            </w:pPr>
            <w:r w:rsidRPr="009B4644">
              <w:rPr>
                <w:rFonts w:ascii="Calibri" w:eastAsiaTheme="minorHAnsi" w:hAnsi="Calibri" w:cs="Calibri"/>
                <w:color w:val="000000"/>
              </w:rPr>
              <w:t>Max</w:t>
            </w:r>
          </w:p>
        </w:tc>
        <w:tc>
          <w:tcPr>
            <w:tcW w:w="1170" w:type="dxa"/>
            <w:tcBorders>
              <w:top w:val="single" w:sz="18" w:space="0" w:color="auto"/>
              <w:bottom w:val="single" w:sz="4" w:space="0" w:color="auto"/>
            </w:tcBorders>
          </w:tcPr>
          <w:p w14:paraId="4E4217E8" w14:textId="77777777" w:rsidR="0078169A" w:rsidRPr="009B4644" w:rsidRDefault="0078169A" w:rsidP="007A1E46">
            <w:pPr>
              <w:contextualSpacing/>
              <w:jc w:val="center"/>
              <w:rPr>
                <w:rFonts w:ascii="Arial" w:hAnsi="Arial" w:cs="Arial"/>
              </w:rPr>
            </w:pPr>
            <w:r w:rsidRPr="009B4644">
              <w:rPr>
                <w:rFonts w:ascii="Calibri" w:eastAsiaTheme="minorHAnsi" w:hAnsi="Calibri" w:cs="Calibri"/>
                <w:color w:val="000000"/>
              </w:rPr>
              <w:t>Min</w:t>
            </w:r>
          </w:p>
        </w:tc>
      </w:tr>
      <w:tr w:rsidR="0078169A" w14:paraId="392AD903" w14:textId="77777777" w:rsidTr="007A1E46">
        <w:tc>
          <w:tcPr>
            <w:tcW w:w="2700" w:type="dxa"/>
            <w:vMerge w:val="restart"/>
            <w:tcBorders>
              <w:top w:val="single" w:sz="4" w:space="0" w:color="auto"/>
            </w:tcBorders>
          </w:tcPr>
          <w:p w14:paraId="7351E4B0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Lowland (Beaver Creek)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27BF3318" w14:textId="77777777" w:rsidR="0078169A" w:rsidRPr="009B4644" w:rsidRDefault="0078169A" w:rsidP="007A1E46">
            <w:pPr>
              <w:contextualSpacing/>
              <w:jc w:val="center"/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eastAsiaTheme="minorHAnsi" w:hAnsi="Calibri" w:cs="Calibri"/>
                <w:color w:val="000000"/>
              </w:rPr>
              <w:t>2030 - 2039</w:t>
            </w: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D17DCA2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42</w:t>
            </w:r>
          </w:p>
        </w:tc>
        <w:tc>
          <w:tcPr>
            <w:tcW w:w="1953" w:type="dxa"/>
            <w:tcBorders>
              <w:top w:val="single" w:sz="4" w:space="0" w:color="auto"/>
            </w:tcBorders>
          </w:tcPr>
          <w:p w14:paraId="4778268A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 xml:space="preserve">-3.87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Calibri" w:eastAsiaTheme="minorHAnsi" w:hAnsi="Calibri" w:cs="Calibri"/>
                <w:color w:val="000000"/>
              </w:rPr>
              <w:t xml:space="preserve"> 0.16 %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76B675A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-2.08 %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E68E521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-6.54 %</w:t>
            </w:r>
          </w:p>
        </w:tc>
      </w:tr>
      <w:tr w:rsidR="0078169A" w14:paraId="0537758F" w14:textId="77777777" w:rsidTr="007A1E46">
        <w:tc>
          <w:tcPr>
            <w:tcW w:w="2700" w:type="dxa"/>
            <w:vMerge/>
          </w:tcPr>
          <w:p w14:paraId="3BD42081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7" w:type="dxa"/>
          </w:tcPr>
          <w:p w14:paraId="53EFDB97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2060 - 2069</w:t>
            </w:r>
          </w:p>
        </w:tc>
        <w:tc>
          <w:tcPr>
            <w:tcW w:w="490" w:type="dxa"/>
          </w:tcPr>
          <w:p w14:paraId="33C80AD2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42</w:t>
            </w:r>
          </w:p>
        </w:tc>
        <w:tc>
          <w:tcPr>
            <w:tcW w:w="1953" w:type="dxa"/>
          </w:tcPr>
          <w:p w14:paraId="1C53E166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 xml:space="preserve">-11.51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Calibri" w:eastAsiaTheme="minorHAnsi" w:hAnsi="Calibri" w:cs="Calibri"/>
                <w:color w:val="000000"/>
              </w:rPr>
              <w:t>0.61 %</w:t>
            </w:r>
          </w:p>
        </w:tc>
        <w:tc>
          <w:tcPr>
            <w:tcW w:w="1260" w:type="dxa"/>
          </w:tcPr>
          <w:p w14:paraId="58FAC7FE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-5.24 %</w:t>
            </w:r>
          </w:p>
        </w:tc>
        <w:tc>
          <w:tcPr>
            <w:tcW w:w="1170" w:type="dxa"/>
          </w:tcPr>
          <w:p w14:paraId="27D72F1F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-20.58 %</w:t>
            </w:r>
          </w:p>
        </w:tc>
      </w:tr>
      <w:tr w:rsidR="0078169A" w14:paraId="6E40D3D5" w14:textId="77777777" w:rsidTr="007A1E46">
        <w:tc>
          <w:tcPr>
            <w:tcW w:w="2700" w:type="dxa"/>
            <w:vMerge w:val="restart"/>
          </w:tcPr>
          <w:p w14:paraId="3BA59264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Montane (Russian River)</w:t>
            </w:r>
          </w:p>
        </w:tc>
        <w:tc>
          <w:tcPr>
            <w:tcW w:w="1517" w:type="dxa"/>
          </w:tcPr>
          <w:p w14:paraId="59EDDCF2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2030 - 2039</w:t>
            </w:r>
          </w:p>
        </w:tc>
        <w:tc>
          <w:tcPr>
            <w:tcW w:w="490" w:type="dxa"/>
          </w:tcPr>
          <w:p w14:paraId="154208DB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42</w:t>
            </w:r>
          </w:p>
        </w:tc>
        <w:tc>
          <w:tcPr>
            <w:tcW w:w="1953" w:type="dxa"/>
          </w:tcPr>
          <w:p w14:paraId="215A8457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 xml:space="preserve">-3.19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Calibri" w:eastAsiaTheme="minorHAnsi" w:hAnsi="Calibri" w:cs="Calibri"/>
                <w:color w:val="000000"/>
              </w:rPr>
              <w:t>0.43 %</w:t>
            </w:r>
          </w:p>
        </w:tc>
        <w:tc>
          <w:tcPr>
            <w:tcW w:w="1260" w:type="dxa"/>
          </w:tcPr>
          <w:p w14:paraId="2893BBB9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0.77 %</w:t>
            </w:r>
          </w:p>
        </w:tc>
        <w:tc>
          <w:tcPr>
            <w:tcW w:w="1170" w:type="dxa"/>
          </w:tcPr>
          <w:p w14:paraId="469571F0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-8.16 %</w:t>
            </w:r>
          </w:p>
        </w:tc>
      </w:tr>
      <w:tr w:rsidR="0078169A" w14:paraId="4357E34B" w14:textId="77777777" w:rsidTr="007A1E46">
        <w:tc>
          <w:tcPr>
            <w:tcW w:w="2700" w:type="dxa"/>
            <w:vMerge/>
          </w:tcPr>
          <w:p w14:paraId="480B95CE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7" w:type="dxa"/>
          </w:tcPr>
          <w:p w14:paraId="7F7ECA63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2060 - 2069</w:t>
            </w:r>
          </w:p>
        </w:tc>
        <w:tc>
          <w:tcPr>
            <w:tcW w:w="490" w:type="dxa"/>
          </w:tcPr>
          <w:p w14:paraId="3E272DE7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42</w:t>
            </w:r>
          </w:p>
        </w:tc>
        <w:tc>
          <w:tcPr>
            <w:tcW w:w="1953" w:type="dxa"/>
          </w:tcPr>
          <w:p w14:paraId="0018CD2A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 xml:space="preserve">-8.79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Calibri" w:eastAsiaTheme="minorHAnsi" w:hAnsi="Calibri" w:cs="Calibri"/>
                <w:color w:val="000000"/>
              </w:rPr>
              <w:t>1.08 %</w:t>
            </w:r>
          </w:p>
        </w:tc>
        <w:tc>
          <w:tcPr>
            <w:tcW w:w="1260" w:type="dxa"/>
          </w:tcPr>
          <w:p w14:paraId="52837A5B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0.50 %</w:t>
            </w:r>
          </w:p>
        </w:tc>
        <w:tc>
          <w:tcPr>
            <w:tcW w:w="1170" w:type="dxa"/>
          </w:tcPr>
          <w:p w14:paraId="18F9D472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-23.34 %</w:t>
            </w:r>
          </w:p>
        </w:tc>
      </w:tr>
      <w:tr w:rsidR="0078169A" w14:paraId="19AD501F" w14:textId="77777777" w:rsidTr="007A1E46">
        <w:tc>
          <w:tcPr>
            <w:tcW w:w="2700" w:type="dxa"/>
            <w:vMerge w:val="restart"/>
          </w:tcPr>
          <w:p w14:paraId="1DB791D5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Glacial (Ptarmigan Creek)</w:t>
            </w:r>
          </w:p>
        </w:tc>
        <w:tc>
          <w:tcPr>
            <w:tcW w:w="1517" w:type="dxa"/>
          </w:tcPr>
          <w:p w14:paraId="26626D33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2030 - 2039</w:t>
            </w:r>
          </w:p>
        </w:tc>
        <w:tc>
          <w:tcPr>
            <w:tcW w:w="490" w:type="dxa"/>
          </w:tcPr>
          <w:p w14:paraId="290408AF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24</w:t>
            </w:r>
          </w:p>
        </w:tc>
        <w:tc>
          <w:tcPr>
            <w:tcW w:w="1953" w:type="dxa"/>
          </w:tcPr>
          <w:p w14:paraId="1ACDDC2C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 xml:space="preserve">-1.17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0.10 %</w:t>
            </w:r>
          </w:p>
        </w:tc>
        <w:tc>
          <w:tcPr>
            <w:tcW w:w="1260" w:type="dxa"/>
          </w:tcPr>
          <w:p w14:paraId="6684391B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-0.49 %</w:t>
            </w:r>
          </w:p>
        </w:tc>
        <w:tc>
          <w:tcPr>
            <w:tcW w:w="1170" w:type="dxa"/>
          </w:tcPr>
          <w:p w14:paraId="798FB8B1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-2.14 %</w:t>
            </w:r>
          </w:p>
        </w:tc>
      </w:tr>
      <w:tr w:rsidR="0078169A" w14:paraId="0E25CBE9" w14:textId="77777777" w:rsidTr="007A1E46">
        <w:tc>
          <w:tcPr>
            <w:tcW w:w="2700" w:type="dxa"/>
            <w:vMerge/>
          </w:tcPr>
          <w:p w14:paraId="28E76571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7" w:type="dxa"/>
          </w:tcPr>
          <w:p w14:paraId="502B7206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2060 - 2069</w:t>
            </w:r>
          </w:p>
        </w:tc>
        <w:tc>
          <w:tcPr>
            <w:tcW w:w="490" w:type="dxa"/>
          </w:tcPr>
          <w:p w14:paraId="2DC21F15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24</w:t>
            </w:r>
          </w:p>
        </w:tc>
        <w:tc>
          <w:tcPr>
            <w:tcW w:w="1953" w:type="dxa"/>
          </w:tcPr>
          <w:p w14:paraId="0B2F2660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 xml:space="preserve">-3.33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0.32 %</w:t>
            </w:r>
          </w:p>
        </w:tc>
        <w:tc>
          <w:tcPr>
            <w:tcW w:w="1260" w:type="dxa"/>
          </w:tcPr>
          <w:p w14:paraId="2ADFD7C4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-1.08 %</w:t>
            </w:r>
          </w:p>
        </w:tc>
        <w:tc>
          <w:tcPr>
            <w:tcW w:w="1170" w:type="dxa"/>
          </w:tcPr>
          <w:p w14:paraId="68653817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-6.95 %</w:t>
            </w:r>
          </w:p>
        </w:tc>
      </w:tr>
      <w:tr w:rsidR="0078169A" w14:paraId="222614C1" w14:textId="77777777" w:rsidTr="007A1E46">
        <w:tc>
          <w:tcPr>
            <w:tcW w:w="2700" w:type="dxa"/>
            <w:vMerge w:val="restart"/>
            <w:tcBorders>
              <w:bottom w:val="single" w:sz="18" w:space="0" w:color="auto"/>
            </w:tcBorders>
          </w:tcPr>
          <w:p w14:paraId="5B0C5F4B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Main stem (Kenai River)</w:t>
            </w:r>
          </w:p>
        </w:tc>
        <w:tc>
          <w:tcPr>
            <w:tcW w:w="1517" w:type="dxa"/>
          </w:tcPr>
          <w:p w14:paraId="04B09C30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2030 - 2039</w:t>
            </w:r>
          </w:p>
        </w:tc>
        <w:tc>
          <w:tcPr>
            <w:tcW w:w="490" w:type="dxa"/>
          </w:tcPr>
          <w:p w14:paraId="06648C0C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18</w:t>
            </w:r>
          </w:p>
        </w:tc>
        <w:tc>
          <w:tcPr>
            <w:tcW w:w="1953" w:type="dxa"/>
          </w:tcPr>
          <w:p w14:paraId="5A5D5B16" w14:textId="77777777" w:rsidR="0078169A" w:rsidRDefault="0078169A" w:rsidP="007A1E46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 xml:space="preserve">-1.77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0.56 %</w:t>
            </w:r>
          </w:p>
        </w:tc>
        <w:tc>
          <w:tcPr>
            <w:tcW w:w="1260" w:type="dxa"/>
          </w:tcPr>
          <w:p w14:paraId="4A7C33B5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2.56 %</w:t>
            </w:r>
          </w:p>
        </w:tc>
        <w:tc>
          <w:tcPr>
            <w:tcW w:w="1170" w:type="dxa"/>
          </w:tcPr>
          <w:p w14:paraId="19D882FE" w14:textId="77777777" w:rsidR="0078169A" w:rsidRDefault="0078169A" w:rsidP="007A1E46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Theme="minorHAnsi" w:hAnsi="Calibri" w:cs="Calibri"/>
                <w:color w:val="000000"/>
              </w:rPr>
              <w:t>-5.00 %</w:t>
            </w:r>
          </w:p>
        </w:tc>
      </w:tr>
      <w:tr w:rsidR="0078169A" w14:paraId="42999A0F" w14:textId="77777777" w:rsidTr="007A1E46">
        <w:tc>
          <w:tcPr>
            <w:tcW w:w="2700" w:type="dxa"/>
            <w:vMerge/>
            <w:tcBorders>
              <w:bottom w:val="single" w:sz="18" w:space="0" w:color="auto"/>
            </w:tcBorders>
            <w:vAlign w:val="bottom"/>
          </w:tcPr>
          <w:p w14:paraId="29F6F8B8" w14:textId="77777777" w:rsidR="0078169A" w:rsidRDefault="0078169A" w:rsidP="007A1E46">
            <w:pPr>
              <w:contextualSpacing/>
              <w:rPr>
                <w:rFonts w:ascii="Calibri" w:eastAsiaTheme="minorHAnsi" w:hAnsi="Calibri" w:cs="Calibri"/>
                <w:color w:val="000000"/>
              </w:rPr>
            </w:pPr>
          </w:p>
        </w:tc>
        <w:tc>
          <w:tcPr>
            <w:tcW w:w="1517" w:type="dxa"/>
            <w:tcBorders>
              <w:bottom w:val="single" w:sz="18" w:space="0" w:color="auto"/>
            </w:tcBorders>
            <w:vAlign w:val="bottom"/>
          </w:tcPr>
          <w:p w14:paraId="02B08510" w14:textId="77777777" w:rsidR="0078169A" w:rsidRDefault="0078169A" w:rsidP="007A1E46">
            <w:pPr>
              <w:contextualSpacing/>
              <w:jc w:val="center"/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2060 - 2069</w:t>
            </w:r>
          </w:p>
        </w:tc>
        <w:tc>
          <w:tcPr>
            <w:tcW w:w="490" w:type="dxa"/>
            <w:tcBorders>
              <w:bottom w:val="single" w:sz="18" w:space="0" w:color="auto"/>
            </w:tcBorders>
            <w:vAlign w:val="bottom"/>
          </w:tcPr>
          <w:p w14:paraId="48ED5E99" w14:textId="77777777" w:rsidR="0078169A" w:rsidRDefault="0078169A" w:rsidP="007A1E46">
            <w:pPr>
              <w:contextualSpacing/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53" w:type="dxa"/>
            <w:tcBorders>
              <w:bottom w:val="single" w:sz="18" w:space="0" w:color="auto"/>
            </w:tcBorders>
            <w:vAlign w:val="bottom"/>
          </w:tcPr>
          <w:p w14:paraId="5552FEBB" w14:textId="77777777" w:rsidR="0078169A" w:rsidRDefault="0078169A" w:rsidP="007A1E46">
            <w:pPr>
              <w:contextualSpacing/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-7.02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1.48 %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bottom"/>
          </w:tcPr>
          <w:p w14:paraId="6C033308" w14:textId="77777777" w:rsidR="0078169A" w:rsidRDefault="0078169A" w:rsidP="007A1E46">
            <w:pPr>
              <w:contextualSpacing/>
              <w:jc w:val="center"/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2.66 %</w:t>
            </w:r>
          </w:p>
        </w:tc>
        <w:tc>
          <w:tcPr>
            <w:tcW w:w="1170" w:type="dxa"/>
            <w:tcBorders>
              <w:bottom w:val="single" w:sz="18" w:space="0" w:color="auto"/>
            </w:tcBorders>
            <w:vAlign w:val="bottom"/>
          </w:tcPr>
          <w:p w14:paraId="51C9B7B6" w14:textId="77777777" w:rsidR="0078169A" w:rsidRDefault="0078169A" w:rsidP="007A1E46">
            <w:pPr>
              <w:contextualSpacing/>
              <w:jc w:val="center"/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-17.83 %</w:t>
            </w:r>
          </w:p>
        </w:tc>
      </w:tr>
    </w:tbl>
    <w:p w14:paraId="19B7FC3B" w14:textId="77777777" w:rsidR="0078169A" w:rsidRDefault="0078169A" w:rsidP="0078169A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3D02213E" w14:textId="77777777" w:rsidR="005413B7" w:rsidRDefault="0078169A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6C"/>
    <w:rsid w:val="000E7BCE"/>
    <w:rsid w:val="00167AA4"/>
    <w:rsid w:val="002E7DA7"/>
    <w:rsid w:val="002F171E"/>
    <w:rsid w:val="003373FE"/>
    <w:rsid w:val="0035230B"/>
    <w:rsid w:val="0037165D"/>
    <w:rsid w:val="00445C95"/>
    <w:rsid w:val="004D6561"/>
    <w:rsid w:val="004D74C0"/>
    <w:rsid w:val="004F5C2A"/>
    <w:rsid w:val="00662909"/>
    <w:rsid w:val="006A288F"/>
    <w:rsid w:val="006A5FA6"/>
    <w:rsid w:val="006C4F54"/>
    <w:rsid w:val="007722AF"/>
    <w:rsid w:val="0078169A"/>
    <w:rsid w:val="007C30F0"/>
    <w:rsid w:val="007D4BAA"/>
    <w:rsid w:val="00803F86"/>
    <w:rsid w:val="00820E5F"/>
    <w:rsid w:val="008764E7"/>
    <w:rsid w:val="0094055A"/>
    <w:rsid w:val="009857BA"/>
    <w:rsid w:val="009B678C"/>
    <w:rsid w:val="00A7013F"/>
    <w:rsid w:val="00B111E9"/>
    <w:rsid w:val="00B3029C"/>
    <w:rsid w:val="00B3769E"/>
    <w:rsid w:val="00B62D13"/>
    <w:rsid w:val="00BB6018"/>
    <w:rsid w:val="00C161CE"/>
    <w:rsid w:val="00CE596C"/>
    <w:rsid w:val="00D3054E"/>
    <w:rsid w:val="00D5796D"/>
    <w:rsid w:val="00E43C06"/>
    <w:rsid w:val="00ED77DD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FAEF0"/>
  <w15:chartTrackingRefBased/>
  <w15:docId w15:val="{228326D5-E29C-6941-904A-4DCF8CD7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96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2022-02-12T19:43:00Z</dcterms:created>
  <dcterms:modified xsi:type="dcterms:W3CDTF">2022-02-12T21:04:00Z</dcterms:modified>
</cp:coreProperties>
</file>