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CURASPHERE</w:t>
      </w:r>
    </w:p>
    <w:p>
      <w:pPr>
        <w:jc w:val="center"/>
      </w:pPr>
      <w:r>
        <w:rPr>
          <w:b/>
          <w:sz w:val="36"/>
        </w:rPr>
        <w:t>Global AI Healthcare Operating Platform</w:t>
      </w:r>
    </w:p>
    <w:p>
      <w:pPr>
        <w:jc w:val="center"/>
      </w:pPr>
      <w:r>
        <w:rPr>
          <w:sz w:val="26"/>
        </w:rPr>
        <w:t>Master Development Lifecycle &amp; Engineering Specification Pack v1.0</w:t>
      </w:r>
    </w:p>
    <w:p>
      <w:pPr>
        <w:jc w:val="center"/>
      </w:pPr>
      <w:r>
        <w:t>Prepared as an implementation blueprint for product, engineering, clinical safety, AI/ML, security, SRE, quality/regulatory and commercialization teams. Baseline: September 2026.</w:t>
      </w:r>
    </w:p>
    <w:p>
      <w:r>
        <w:br w:type="page"/>
      </w:r>
    </w:p>
    <w:p>
      <w:pPr>
        <w:pStyle w:val="Heading1"/>
      </w:pPr>
      <w:r>
        <w:t>Executive Product Thesis</w:t>
      </w:r>
    </w:p>
    <w:p>
      <w:r>
        <w:t>CuraSphere is an AI-native global healthcare operating platform. Its core is not a chatbot layered over an EHR; it is a governed intelligence fabric built around Patient Twin, Facility Twin, Population Intelligence, an Evidence Graph, an Agent Platform, and standards-based interoperability. The system must preserve clinical source-of-truth data, keep human clinicians in control of consequential clinical actions, and make every important AI output traceable, reviewable, versioned, and measurable.</w:t>
      </w:r>
    </w:p>
    <w:p>
      <w:pPr>
        <w:pStyle w:val="Heading2"/>
      </w:pPr>
      <w:r>
        <w:t>What makes the platform distinct</w:t>
      </w:r>
    </w:p>
    <w:p>
      <w:pPr>
        <w:pStyle w:val="ListBullet"/>
      </w:pPr>
      <w:r>
        <w:t>Patient Twin: continuously derived patient state with provenance and freshness.</w:t>
      </w:r>
    </w:p>
    <w:p>
      <w:pPr>
        <w:pStyle w:val="ListBullet"/>
      </w:pPr>
      <w:r>
        <w:t>Facility Twin: live operational state of the healthcare organization.</w:t>
      </w:r>
    </w:p>
    <w:p>
      <w:pPr>
        <w:pStyle w:val="ListBullet"/>
      </w:pPr>
      <w:r>
        <w:t>Population Intelligence: governed multi-patient analytics for authorized secondary use.</w:t>
      </w:r>
    </w:p>
    <w:p>
      <w:pPr>
        <w:pStyle w:val="ListBullet"/>
      </w:pPr>
      <w:r>
        <w:t>Evidence Graph: claim-to-source traceability for AI and decision support.</w:t>
      </w:r>
    </w:p>
    <w:p>
      <w:pPr>
        <w:pStyle w:val="ListBullet"/>
      </w:pPr>
      <w:r>
        <w:t>Agent Platform: permissioned, durable agents using typed tools rather than unrestricted data access.</w:t>
      </w:r>
    </w:p>
    <w:p>
      <w:pPr>
        <w:pStyle w:val="ListBullet"/>
      </w:pPr>
      <w:r>
        <w:t>AI Control Plane: model/prompt/evaluation/cost/safety governance across providers.</w:t>
      </w:r>
    </w:p>
    <w:p>
      <w:pPr>
        <w:pStyle w:val="ListBullet"/>
      </w:pPr>
      <w:r>
        <w:t>Standards-first data plane: FHIR, SMART, DICOM/DICOMweb and controlled terminology.</w:t>
      </w:r>
    </w:p>
    <w:p>
      <w:pPr>
        <w:pStyle w:val="Heading2"/>
      </w:pPr>
      <w:r>
        <w:t>Non-negotiable engineering principles</w:t>
      </w:r>
    </w:p>
    <w:p>
      <w:pPr>
        <w:pStyle w:val="ListBullet"/>
      </w:pPr>
      <w:r>
        <w:t>Clinical source data is authoritative; twins, summaries, scores and AI outputs are derived artifacts.</w:t>
      </w:r>
    </w:p>
    <w:p>
      <w:pPr>
        <w:pStyle w:val="ListBullet"/>
      </w:pPr>
      <w:r>
        <w:t>No consequential clinical action is performed solely because an LLM produced text.</w:t>
      </w:r>
    </w:p>
    <w:p>
      <w:pPr>
        <w:pStyle w:val="ListBullet"/>
      </w:pPr>
      <w:r>
        <w:t>Every AI output that can affect care carries evidence references, model/version, timestamp, limitations and review state.</w:t>
      </w:r>
    </w:p>
    <w:p>
      <w:pPr>
        <w:pStyle w:val="ListBullet"/>
      </w:pPr>
      <w:r>
        <w:t>Tenant, facility, purpose-of-use and user authorization are derived server-side and enforced at every data boundary.</w:t>
      </w:r>
    </w:p>
    <w:p>
      <w:pPr>
        <w:pStyle w:val="ListBullet"/>
      </w:pPr>
      <w:r>
        <w:t>FHIR/DICOM/terminology mappings are platform primitives, not adapters bolted on at the end.</w:t>
      </w:r>
    </w:p>
    <w:p>
      <w:pPr>
        <w:pStyle w:val="ListBullet"/>
      </w:pPr>
      <w:r>
        <w:t>Regulated and non-regulated capabilities are separated by intended use, release train, quality controls and telemetry.</w:t>
      </w:r>
    </w:p>
    <w:p>
      <w:pPr>
        <w:pStyle w:val="ListBullet"/>
      </w:pPr>
      <w:r>
        <w:t>Offline and low-bandwidth operation are first-class product modes for target markets that need them.</w:t>
      </w:r>
    </w:p>
    <w:p>
      <w:pPr>
        <w:pStyle w:val="ListBullet"/>
      </w:pPr>
      <w:r>
        <w:t>AI providers are interchangeable behind a policy-aware model gateway; no core workflow depends on one vendor.</w:t>
      </w:r>
    </w:p>
    <w:p>
      <w:pPr>
        <w:pStyle w:val="ListBullet"/>
      </w:pPr>
      <w:r>
        <w:t>All long-running or externally dependent workflows are durable, idempotent and observable.</w:t>
      </w:r>
    </w:p>
    <w:p>
      <w:pPr>
        <w:pStyle w:val="ListBullet"/>
      </w:pPr>
      <w:r>
        <w:t>No phase is complete until security, privacy, reliability, observability, rollback and documentation criteria pass.</w:t>
      </w:r>
    </w:p>
    <w:p>
      <w:pPr>
        <w:pStyle w:val="Heading1"/>
      </w:pPr>
      <w:r>
        <w:t>1. Organizational Operating Model</w:t>
      </w:r>
    </w:p>
    <w:p>
      <w:r>
        <w:t>CuraSphere should be run as a product platform plus regulated-capability organization. Cross-functional review is part of the engineering system, not an after-the-fact compliance activity.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Function</w:t>
            </w:r>
          </w:p>
        </w:tc>
        <w:tc>
          <w:tcPr>
            <w:tcW w:type="dxa" w:w="3360"/>
          </w:tcPr>
          <w:p>
            <w:r>
              <w:t>Representative roles</w:t>
            </w:r>
          </w:p>
        </w:tc>
        <w:tc>
          <w:tcPr>
            <w:tcW w:type="dxa" w:w="3360"/>
          </w:tcPr>
          <w:p>
            <w:r>
              <w:t>Primary accountability</w:t>
            </w:r>
          </w:p>
        </w:tc>
      </w:tr>
      <w:tr>
        <w:tc>
          <w:tcPr>
            <w:tcW w:type="dxa" w:w="3360"/>
          </w:tcPr>
          <w:p>
            <w:r>
              <w:t>Product</w:t>
            </w:r>
          </w:p>
        </w:tc>
        <w:tc>
          <w:tcPr>
            <w:tcW w:type="dxa" w:w="3360"/>
          </w:tcPr>
          <w:p>
            <w:r>
              <w:t>VP Product, Product Managers, UX Research, Design</w:t>
            </w:r>
          </w:p>
        </w:tc>
        <w:tc>
          <w:tcPr>
            <w:tcW w:type="dxa" w:w="3360"/>
          </w:tcPr>
          <w:p>
            <w:r>
              <w:t>Problem selection, PRDs, workflow fit, adoption and business outcomes</w:t>
            </w:r>
          </w:p>
        </w:tc>
      </w:tr>
      <w:tr>
        <w:tc>
          <w:tcPr>
            <w:tcW w:type="dxa" w:w="3360"/>
          </w:tcPr>
          <w:p>
            <w:r>
              <w:t>Clinical</w:t>
            </w:r>
          </w:p>
        </w:tc>
        <w:tc>
          <w:tcPr>
            <w:tcW w:type="dxa" w:w="3360"/>
          </w:tcPr>
          <w:p>
            <w:r>
              <w:t>CMIO/Clinical Safety Officer, specialty leads, nurses/pharmacists/lab experts</w:t>
            </w:r>
          </w:p>
        </w:tc>
        <w:tc>
          <w:tcPr>
            <w:tcW w:type="dxa" w:w="3360"/>
          </w:tcPr>
          <w:p>
            <w:r>
              <w:t>Intended use, clinical hazards, validation, workflow safety and content governance</w:t>
            </w:r>
          </w:p>
        </w:tc>
      </w:tr>
      <w:tr>
        <w:tc>
          <w:tcPr>
            <w:tcW w:type="dxa" w:w="3360"/>
          </w:tcPr>
          <w:p>
            <w:r>
              <w:t>Engineering</w:t>
            </w:r>
          </w:p>
        </w:tc>
        <w:tc>
          <w:tcPr>
            <w:tcW w:type="dxa" w:w="3360"/>
          </w:tcPr>
          <w:p>
            <w:r>
              <w:t>Principal architects, platform, backend, frontend, mobile, integration</w:t>
            </w:r>
          </w:p>
        </w:tc>
        <w:tc>
          <w:tcPr>
            <w:tcW w:type="dxa" w:w="3360"/>
          </w:tcPr>
          <w:p>
            <w:r>
              <w:t>System design, implementation, maintainability and delivery</w:t>
            </w:r>
          </w:p>
        </w:tc>
      </w:tr>
      <w:tr>
        <w:tc>
          <w:tcPr>
            <w:tcW w:type="dxa" w:w="3360"/>
          </w:tcPr>
          <w:p>
            <w:r>
              <w:t>AI/ML</w:t>
            </w:r>
          </w:p>
        </w:tc>
        <w:tc>
          <w:tcPr>
            <w:tcW w:type="dxa" w:w="3360"/>
          </w:tcPr>
          <w:p>
            <w:r>
              <w:t>ML platform, applied ML, evaluation, data science</w:t>
            </w:r>
          </w:p>
        </w:tc>
        <w:tc>
          <w:tcPr>
            <w:tcW w:type="dxa" w:w="3360"/>
          </w:tcPr>
          <w:p>
            <w:r>
              <w:t>Models, datasets, evaluation, monitoring and AI governance</w:t>
            </w:r>
          </w:p>
        </w:tc>
      </w:tr>
      <w:tr>
        <w:tc>
          <w:tcPr>
            <w:tcW w:type="dxa" w:w="3360"/>
          </w:tcPr>
          <w:p>
            <w:r>
              <w:t>Security/Privacy</w:t>
            </w:r>
          </w:p>
        </w:tc>
        <w:tc>
          <w:tcPr>
            <w:tcW w:type="dxa" w:w="3360"/>
          </w:tcPr>
          <w:p>
            <w:r>
              <w:t>CISO, AppSec, cloud security, privacy officer/DPO</w:t>
            </w:r>
          </w:p>
        </w:tc>
        <w:tc>
          <w:tcPr>
            <w:tcW w:type="dxa" w:w="3360"/>
          </w:tcPr>
          <w:p>
            <w:r>
              <w:t>Zero trust, threat modeling, privacy impact, incident response and compliance</w:t>
            </w:r>
          </w:p>
        </w:tc>
      </w:tr>
      <w:tr>
        <w:tc>
          <w:tcPr>
            <w:tcW w:type="dxa" w:w="3360"/>
          </w:tcPr>
          <w:p>
            <w:r>
              <w:t>Quality/Regulatory</w:t>
            </w:r>
          </w:p>
        </w:tc>
        <w:tc>
          <w:tcPr>
            <w:tcW w:type="dxa" w:w="3360"/>
          </w:tcPr>
          <w:p>
            <w:r>
              <w:t>QA/RA leadership</w:t>
            </w:r>
          </w:p>
        </w:tc>
        <w:tc>
          <w:tcPr>
            <w:tcW w:type="dxa" w:w="3360"/>
          </w:tcPr>
          <w:p>
            <w:r>
              <w:t>QMS, risk files, design controls, jurisdiction strategy and release evidence</w:t>
            </w:r>
          </w:p>
        </w:tc>
      </w:tr>
      <w:tr>
        <w:tc>
          <w:tcPr>
            <w:tcW w:type="dxa" w:w="3360"/>
          </w:tcPr>
          <w:p>
            <w:r>
              <w:t>SRE/Platform</w:t>
            </w:r>
          </w:p>
        </w:tc>
        <w:tc>
          <w:tcPr>
            <w:tcW w:type="dxa" w:w="3360"/>
          </w:tcPr>
          <w:p>
            <w:r>
              <w:t>SRE, cloud platform, FinOps</w:t>
            </w:r>
          </w:p>
        </w:tc>
        <w:tc>
          <w:tcPr>
            <w:tcW w:type="dxa" w:w="3360"/>
          </w:tcPr>
          <w:p>
            <w:r>
              <w:t>SLOs, resilience, deployments, capacity, observability and cost</w:t>
            </w:r>
          </w:p>
        </w:tc>
      </w:tr>
      <w:tr>
        <w:tc>
          <w:tcPr>
            <w:tcW w:type="dxa" w:w="3360"/>
          </w:tcPr>
          <w:p>
            <w:r>
              <w:t>Data</w:t>
            </w:r>
          </w:p>
        </w:tc>
        <w:tc>
          <w:tcPr>
            <w:tcW w:type="dxa" w:w="3360"/>
          </w:tcPr>
          <w:p>
            <w:r>
              <w:t>Data engineering, analytics engineering, governance</w:t>
            </w:r>
          </w:p>
        </w:tc>
        <w:tc>
          <w:tcPr>
            <w:tcW w:type="dxa" w:w="3360"/>
          </w:tcPr>
          <w:p>
            <w:r>
              <w:t>Lakehouse, lineage, secondary use, quality and semantics</w:t>
            </w:r>
          </w:p>
        </w:tc>
      </w:tr>
    </w:tbl>
    <w:p>
      <w:pPr>
        <w:pStyle w:val="Heading2"/>
      </w:pPr>
      <w:r>
        <w:t>Decision forums</w:t>
      </w:r>
    </w:p>
    <w:p>
      <w:pPr>
        <w:pStyle w:val="ListBullet"/>
      </w:pPr>
      <w:r>
        <w:t>Product Council: roadmap, customer value and investment.</w:t>
      </w:r>
    </w:p>
    <w:p>
      <w:pPr>
        <w:pStyle w:val="ListBullet"/>
      </w:pPr>
      <w:r>
        <w:t>Architecture Review Board: RFCs, domain boundaries, platform standards and ADRs.</w:t>
      </w:r>
    </w:p>
    <w:p>
      <w:pPr>
        <w:pStyle w:val="ListBullet"/>
      </w:pPr>
      <w:r>
        <w:t>Clinical Safety Board: intended use, hazards, workflow safety, validation and safety incidents.</w:t>
      </w:r>
    </w:p>
    <w:p>
      <w:pPr>
        <w:pStyle w:val="ListBullet"/>
      </w:pPr>
      <w:r>
        <w:t>AI Governance Board: model/prompt/dataset approvals, evaluations, drift and AI incidents.</w:t>
      </w:r>
    </w:p>
    <w:p>
      <w:pPr>
        <w:pStyle w:val="ListBullet"/>
      </w:pPr>
      <w:r>
        <w:t>Security &amp; Privacy Review: threat models, DPIAs, data flows and exceptions.</w:t>
      </w:r>
    </w:p>
    <w:p>
      <w:pPr>
        <w:pStyle w:val="ListBullet"/>
      </w:pPr>
      <w:r>
        <w:t>Production Readiness Review: SLOs, runbooks, capacity, rollback and support readiness.</w:t>
      </w:r>
    </w:p>
    <w:p>
      <w:pPr>
        <w:pStyle w:val="ListBullet"/>
      </w:pPr>
      <w:r>
        <w:t>Change Control Board for regulated modules: evaluates software/model/data changes against regulatory plans.</w:t>
      </w:r>
    </w:p>
    <w:p>
      <w:pPr>
        <w:pStyle w:val="Heading1"/>
      </w:pPr>
      <w:r>
        <w:t>2. Full Product &amp; Engineering Lifecycle</w:t>
      </w:r>
    </w:p>
    <w:p>
      <w:pPr>
        <w:pStyle w:val="Heading2"/>
      </w:pPr>
      <w:r>
        <w:t>1. Strategy &amp; portfolio</w:t>
      </w:r>
    </w:p>
    <w:p>
      <w:r>
        <w:t>Define target segments, clinical problems, jurisdictions, business model, value metrics and explicit non-goals.</w:t>
      </w:r>
    </w:p>
    <w:p>
      <w:pPr>
        <w:pStyle w:val="Heading2"/>
      </w:pPr>
      <w:r>
        <w:t>2. Intended-use classification</w:t>
      </w:r>
    </w:p>
    <w:p>
      <w:r>
        <w:t>Classify every feature by user, clinical purpose, automation level and potential regulatory status before design.</w:t>
      </w:r>
    </w:p>
    <w:p>
      <w:pPr>
        <w:pStyle w:val="Heading2"/>
      </w:pPr>
      <w:r>
        <w:t>3. Discovery &amp; workflow research</w:t>
      </w:r>
    </w:p>
    <w:p>
      <w:r>
        <w:t>Map real workflows with clinicians, patients, administrators, payers and operations staff; capture failure modes and equity constraints.</w:t>
      </w:r>
    </w:p>
    <w:p>
      <w:pPr>
        <w:pStyle w:val="Heading2"/>
      </w:pPr>
      <w:r>
        <w:t>4. PRD &amp; measurable outcomes</w:t>
      </w:r>
    </w:p>
    <w:p>
      <w:r>
        <w:t>Write user stories, acceptance criteria, safety outcomes, SLOs, cost budgets and success metrics.</w:t>
      </w:r>
    </w:p>
    <w:p>
      <w:pPr>
        <w:pStyle w:val="Heading2"/>
      </w:pPr>
      <w:r>
        <w:t>5. RFC/architecture</w:t>
      </w:r>
    </w:p>
    <w:p>
      <w:r>
        <w:t>Define bounded context, data ownership, APIs/events, security boundaries, interoperability, data retention, migration and rollback.</w:t>
      </w:r>
    </w:p>
    <w:p>
      <w:pPr>
        <w:pStyle w:val="Heading2"/>
      </w:pPr>
      <w:r>
        <w:t>6. Threat + privacy + clinical hazard analysis</w:t>
      </w:r>
    </w:p>
    <w:p>
      <w:r>
        <w:t>Perform STRIDE-like threat modeling, privacy impact assessment, misuse analysis and clinical hazard/FMEA before implementation.</w:t>
      </w:r>
    </w:p>
    <w:p>
      <w:pPr>
        <w:pStyle w:val="Heading2"/>
      </w:pPr>
      <w:r>
        <w:t>7. Design review</w:t>
      </w:r>
    </w:p>
    <w:p>
      <w:r>
        <w:t>Cross-functional approval by engineering, security, privacy, clinical safety, interoperability, SRE and product owners.</w:t>
      </w:r>
    </w:p>
    <w:p>
      <w:pPr>
        <w:pStyle w:val="Heading2"/>
      </w:pPr>
      <w:r>
        <w:t>8. Implementation</w:t>
      </w:r>
    </w:p>
    <w:p>
      <w:r>
        <w:t>Small reviewed changes, feature flags, migrations, contract tests and generated documentation.</w:t>
      </w:r>
    </w:p>
    <w:p>
      <w:pPr>
        <w:pStyle w:val="Heading2"/>
      </w:pPr>
      <w:r>
        <w:t>9. Verification</w:t>
      </w:r>
    </w:p>
    <w:p>
      <w:r>
        <w:t>Unit, integration, authorization, tenancy, interoperability, performance, accessibility, chaos and security tests.</w:t>
      </w:r>
    </w:p>
    <w:p>
      <w:pPr>
        <w:pStyle w:val="Heading2"/>
      </w:pPr>
      <w:r>
        <w:t>10. AI/ML evaluation</w:t>
      </w:r>
    </w:p>
    <w:p>
      <w:r>
        <w:t>Golden sets, subgroup evaluation, hallucination/grounding tests, prompt injection, calibration, model comparison and cost/latency evaluation.</w:t>
      </w:r>
    </w:p>
    <w:p>
      <w:pPr>
        <w:pStyle w:val="Heading2"/>
      </w:pPr>
      <w:r>
        <w:t>11. Clinical validation</w:t>
      </w:r>
    </w:p>
    <w:p>
      <w:r>
        <w:t>For clinical-impact features, conduct protocol-driven retrospective/prospective validation appropriate to intended use.</w:t>
      </w:r>
    </w:p>
    <w:p>
      <w:pPr>
        <w:pStyle w:val="Heading2"/>
      </w:pPr>
      <w:r>
        <w:t>12. Release qualification</w:t>
      </w:r>
    </w:p>
    <w:p>
      <w:r>
        <w:t>Release candidate is frozen, SBOM/provenance generated, controls attested and operational readiness reviewed.</w:t>
      </w:r>
    </w:p>
    <w:p>
      <w:pPr>
        <w:pStyle w:val="Heading2"/>
      </w:pPr>
      <w:r>
        <w:t>13. Shadow/canary rollout</w:t>
      </w:r>
    </w:p>
    <w:p>
      <w:r>
        <w:t>Observe real traffic or clinical workflow without unsafe action; then progressively enable by tenant/site/cohort.</w:t>
      </w:r>
    </w:p>
    <w:p>
      <w:pPr>
        <w:pStyle w:val="Heading2"/>
      </w:pPr>
      <w:r>
        <w:t>14. Production monitoring</w:t>
      </w:r>
    </w:p>
    <w:p>
      <w:r>
        <w:t>Track safety signals, drift, bias, SLOs, incidents, model behavior, overrides, user feedback and cost.</w:t>
      </w:r>
    </w:p>
    <w:p>
      <w:pPr>
        <w:pStyle w:val="Heading2"/>
      </w:pPr>
      <w:r>
        <w:t>15. Controlled change</w:t>
      </w:r>
    </w:p>
    <w:p>
      <w:r>
        <w:t>Any material model, prompt, data, workflow or intended-use change goes through impact analysis and the required validation/regulatory path.</w:t>
      </w:r>
    </w:p>
    <w:p>
      <w:pPr>
        <w:pStyle w:val="Heading2"/>
      </w:pPr>
      <w:r>
        <w:t>16. Retirement</w:t>
      </w:r>
    </w:p>
    <w:p>
      <w:r>
        <w:t>Deprecate safely, migrate data, preserve audit evidence, communicate impact and revoke obsolete model/tool access.</w:t>
      </w:r>
    </w:p>
    <w:p>
      <w:pPr>
        <w:pStyle w:val="Heading1"/>
      </w:pPr>
      <w:r>
        <w:t>3. Reference Technology Architecture</w:t>
      </w:r>
    </w:p>
    <w:p>
      <w:r>
        <w:t>Technology is selected by reliability, ecosystem maturity, operability, interoperability, security, talent availability, lifecycle cost and lock-in—not by a single existing team skillset.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Capability</w:t>
            </w:r>
          </w:p>
        </w:tc>
        <w:tc>
          <w:tcPr>
            <w:tcW w:type="dxa" w:w="3360"/>
          </w:tcPr>
          <w:p>
            <w:r>
              <w:t>Recommended baseline</w:t>
            </w:r>
          </w:p>
        </w:tc>
        <w:tc>
          <w:tcPr>
            <w:tcW w:type="dxa" w:w="3360"/>
          </w:tcPr>
          <w:p>
            <w:r>
              <w:t>Reason</w:t>
            </w:r>
          </w:p>
        </w:tc>
      </w:tr>
      <w:tr>
        <w:tc>
          <w:tcPr>
            <w:tcW w:type="dxa" w:w="3360"/>
          </w:tcPr>
          <w:p>
            <w:r>
              <w:t>Web applications</w:t>
            </w:r>
          </w:p>
        </w:tc>
        <w:tc>
          <w:tcPr>
            <w:tcW w:type="dxa" w:w="3360"/>
          </w:tcPr>
          <w:p>
            <w:r>
              <w:t>React + Next.js + TypeScript</w:t>
            </w:r>
          </w:p>
        </w:tc>
        <w:tc>
          <w:tcPr>
            <w:tcW w:type="dxa" w:w="3360"/>
          </w:tcPr>
          <w:p>
            <w:r>
              <w:t>Mature ecosystem, server/client rendering, enterprise UI, strong hiring market; use a shared design system and accessibility baseline.</w:t>
            </w:r>
          </w:p>
        </w:tc>
      </w:tr>
      <w:tr>
        <w:tc>
          <w:tcPr>
            <w:tcW w:type="dxa" w:w="3360"/>
          </w:tcPr>
          <w:p>
            <w:r>
              <w:t>Mobile</w:t>
            </w:r>
          </w:p>
        </w:tc>
        <w:tc>
          <w:tcPr>
            <w:tcW w:type="dxa" w:w="3360"/>
          </w:tcPr>
          <w:p>
            <w:r>
              <w:t>React Native + TypeScript</w:t>
            </w:r>
          </w:p>
        </w:tc>
        <w:tc>
          <w:tcPr>
            <w:tcW w:type="dxa" w:w="3360"/>
          </w:tcPr>
          <w:p>
            <w:r>
              <w:t>Shared talent and domain packages with web while retaining native integrations; native modules remain possible for medical-device integrations.</w:t>
            </w:r>
          </w:p>
        </w:tc>
      </w:tr>
      <w:tr>
        <w:tc>
          <w:tcPr>
            <w:tcW w:type="dxa" w:w="3360"/>
          </w:tcPr>
          <w:p>
            <w:r>
              <w:t>Core transactional services</w:t>
            </w:r>
          </w:p>
        </w:tc>
        <w:tc>
          <w:tcPr>
            <w:tcW w:type="dxa" w:w="3360"/>
          </w:tcPr>
          <w:p>
            <w:r>
              <w:t>Kotlin + Spring Boot</w:t>
            </w:r>
          </w:p>
        </w:tc>
        <w:tc>
          <w:tcPr>
            <w:tcW w:type="dxa" w:w="3360"/>
          </w:tcPr>
          <w:p>
            <w:r>
              <w:t>Strong typing, mature security and enterprise ecosystem, long-term maintainability for healthcare workflows and integration-heavy services.</w:t>
            </w:r>
          </w:p>
        </w:tc>
      </w:tr>
      <w:tr>
        <w:tc>
          <w:tcPr>
            <w:tcW w:type="dxa" w:w="3360"/>
          </w:tcPr>
          <w:p>
            <w:r>
              <w:t>Edge/API gateway</w:t>
            </w:r>
          </w:p>
        </w:tc>
        <w:tc>
          <w:tcPr>
            <w:tcW w:type="dxa" w:w="3360"/>
          </w:tcPr>
          <w:p>
            <w:r>
              <w:t>Envoy + Kubernetes Gateway API</w:t>
            </w:r>
          </w:p>
        </w:tc>
        <w:tc>
          <w:tcPr>
            <w:tcW w:type="dxa" w:w="3360"/>
          </w:tcPr>
          <w:p>
            <w:r>
              <w:t>Standards-based traffic management, mTLS, rate limits, policy enforcement and multi-cluster routing.</w:t>
            </w:r>
          </w:p>
        </w:tc>
      </w:tr>
      <w:tr>
        <w:tc>
          <w:tcPr>
            <w:tcW w:type="dxa" w:w="3360"/>
          </w:tcPr>
          <w:p>
            <w:r>
              <w:t>AI/ML services</w:t>
            </w:r>
          </w:p>
        </w:tc>
        <w:tc>
          <w:tcPr>
            <w:tcW w:type="dxa" w:w="3360"/>
          </w:tcPr>
          <w:p>
            <w:r>
              <w:t>Python + FastAPI/gRPC + PyTorch</w:t>
            </w:r>
          </w:p>
        </w:tc>
        <w:tc>
          <w:tcPr>
            <w:tcW w:type="dxa" w:w="3360"/>
          </w:tcPr>
          <w:p>
            <w:r>
              <w:t>Best-in-class ML ecosystem; isolated from transactional services behind versioned contracts.</w:t>
            </w:r>
          </w:p>
        </w:tc>
      </w:tr>
      <w:tr>
        <w:tc>
          <w:tcPr>
            <w:tcW w:type="dxa" w:w="3360"/>
          </w:tcPr>
          <w:p>
            <w:r>
              <w:t>Workflow orchestration</w:t>
            </w:r>
          </w:p>
        </w:tc>
        <w:tc>
          <w:tcPr>
            <w:tcW w:type="dxa" w:w="3360"/>
          </w:tcPr>
          <w:p>
            <w:r>
              <w:t>Temporal</w:t>
            </w:r>
          </w:p>
        </w:tc>
        <w:tc>
          <w:tcPr>
            <w:tcW w:type="dxa" w:w="3360"/>
          </w:tcPr>
          <w:p>
            <w:r>
              <w:t>Durable, resumable workflows for long-running clinical/admin processes, approvals, retries, timers and agent executions.</w:t>
            </w:r>
          </w:p>
        </w:tc>
      </w:tr>
      <w:tr>
        <w:tc>
          <w:tcPr>
            <w:tcW w:type="dxa" w:w="3360"/>
          </w:tcPr>
          <w:p>
            <w:r>
              <w:t>Event streaming</w:t>
            </w:r>
          </w:p>
        </w:tc>
        <w:tc>
          <w:tcPr>
            <w:tcW w:type="dxa" w:w="3360"/>
          </w:tcPr>
          <w:p>
            <w:r>
              <w:t>Apache Kafka</w:t>
            </w:r>
          </w:p>
        </w:tc>
        <w:tc>
          <w:tcPr>
            <w:tcW w:type="dxa" w:w="3360"/>
          </w:tcPr>
          <w:p>
            <w:r>
              <w:t>Durable event backbone for clinical events, analytics, integrations, model monitoring and asynchronous workflows.</w:t>
            </w:r>
          </w:p>
        </w:tc>
      </w:tr>
      <w:tr>
        <w:tc>
          <w:tcPr>
            <w:tcW w:type="dxa" w:w="3360"/>
          </w:tcPr>
          <w:p>
            <w:r>
              <w:t>Transactional database</w:t>
            </w:r>
          </w:p>
        </w:tc>
        <w:tc>
          <w:tcPr>
            <w:tcW w:type="dxa" w:w="3360"/>
          </w:tcPr>
          <w:p>
            <w:r>
              <w:t>PostgreSQL</w:t>
            </w:r>
          </w:p>
        </w:tc>
        <w:tc>
          <w:tcPr>
            <w:tcW w:type="dxa" w:w="3360"/>
          </w:tcPr>
          <w:p>
            <w:r>
              <w:t>Strong relational integrity, JSON support, RLS options, broad ecosystem; partitioning and read replicas as scale grows.</w:t>
            </w:r>
          </w:p>
        </w:tc>
      </w:tr>
      <w:tr>
        <w:tc>
          <w:tcPr>
            <w:tcW w:type="dxa" w:w="3360"/>
          </w:tcPr>
          <w:p>
            <w:r>
              <w:t>Vector search</w:t>
            </w:r>
          </w:p>
        </w:tc>
        <w:tc>
          <w:tcPr>
            <w:tcW w:type="dxa" w:w="3360"/>
          </w:tcPr>
          <w:p>
            <w:r>
              <w:t>pgvector initially; dedicated vector service only when justified</w:t>
            </w:r>
          </w:p>
        </w:tc>
        <w:tc>
          <w:tcPr>
            <w:tcW w:type="dxa" w:w="3360"/>
          </w:tcPr>
          <w:p>
            <w:r>
              <w:t>Keeps early architecture simpler and transactional/evidence linkage close to source data.</w:t>
            </w:r>
          </w:p>
        </w:tc>
      </w:tr>
      <w:tr>
        <w:tc>
          <w:tcPr>
            <w:tcW w:type="dxa" w:w="3360"/>
          </w:tcPr>
          <w:p>
            <w:r>
              <w:t>Cache</w:t>
            </w:r>
          </w:p>
        </w:tc>
        <w:tc>
          <w:tcPr>
            <w:tcW w:type="dxa" w:w="3360"/>
          </w:tcPr>
          <w:p>
            <w:r>
              <w:t>Redis</w:t>
            </w:r>
          </w:p>
        </w:tc>
        <w:tc>
          <w:tcPr>
            <w:tcW w:type="dxa" w:w="3360"/>
          </w:tcPr>
          <w:p>
            <w:r>
              <w:t>Ephemeral caching, rate limiting, distributed coordination; never authoritative clinical storage.</w:t>
            </w:r>
          </w:p>
        </w:tc>
      </w:tr>
      <w:tr>
        <w:tc>
          <w:tcPr>
            <w:tcW w:type="dxa" w:w="3360"/>
          </w:tcPr>
          <w:p>
            <w:r>
              <w:t>Object storage</w:t>
            </w:r>
          </w:p>
        </w:tc>
        <w:tc>
          <w:tcPr>
            <w:tcW w:type="dxa" w:w="3360"/>
          </w:tcPr>
          <w:p>
            <w:r>
              <w:t>S3-compatible object storage</w:t>
            </w:r>
          </w:p>
        </w:tc>
        <w:tc>
          <w:tcPr>
            <w:tcW w:type="dxa" w:w="3360"/>
          </w:tcPr>
          <w:p>
            <w:r>
              <w:t>Encrypted documents, images, DICOM payloads, model artifacts, exports and immutable audit evidence.</w:t>
            </w:r>
          </w:p>
        </w:tc>
      </w:tr>
      <w:tr>
        <w:tc>
          <w:tcPr>
            <w:tcW w:type="dxa" w:w="3360"/>
          </w:tcPr>
          <w:p>
            <w:r>
              <w:t>Search</w:t>
            </w:r>
          </w:p>
        </w:tc>
        <w:tc>
          <w:tcPr>
            <w:tcW w:type="dxa" w:w="3360"/>
          </w:tcPr>
          <w:p>
            <w:r>
              <w:t>OpenSearch</w:t>
            </w:r>
          </w:p>
        </w:tc>
        <w:tc>
          <w:tcPr>
            <w:tcW w:type="dxa" w:w="3360"/>
          </w:tcPr>
          <w:p>
            <w:r>
              <w:t>Full-text search, operational search and log/search workloads; isolate PHI-aware indexes.</w:t>
            </w:r>
          </w:p>
        </w:tc>
      </w:tr>
      <w:tr>
        <w:tc>
          <w:tcPr>
            <w:tcW w:type="dxa" w:w="3360"/>
          </w:tcPr>
          <w:p>
            <w:r>
              <w:t>Analytics lakehouse</w:t>
            </w:r>
          </w:p>
        </w:tc>
        <w:tc>
          <w:tcPr>
            <w:tcW w:type="dxa" w:w="3360"/>
          </w:tcPr>
          <w:p>
            <w:r>
              <w:t>Apache Iceberg on object storage + Trino/Spark</w:t>
            </w:r>
          </w:p>
        </w:tc>
        <w:tc>
          <w:tcPr>
            <w:tcW w:type="dxa" w:w="3360"/>
          </w:tcPr>
          <w:p>
            <w:r>
              <w:t>Cloud-neutral analytical storage with schema evolution and scalable secondary-use analytics.</w:t>
            </w:r>
          </w:p>
        </w:tc>
      </w:tr>
      <w:tr>
        <w:tc>
          <w:tcPr>
            <w:tcW w:type="dxa" w:w="3360"/>
          </w:tcPr>
          <w:p>
            <w:r>
              <w:t>Observability</w:t>
            </w:r>
          </w:p>
        </w:tc>
        <w:tc>
          <w:tcPr>
            <w:tcW w:type="dxa" w:w="3360"/>
          </w:tcPr>
          <w:p>
            <w:r>
              <w:t>OpenTelemetry + Prometheus + Grafana + Sentry</w:t>
            </w:r>
          </w:p>
        </w:tc>
        <w:tc>
          <w:tcPr>
            <w:tcW w:type="dxa" w:w="3360"/>
          </w:tcPr>
          <w:p>
            <w:r>
              <w:t>Vendor-neutral traces/metrics/logs, SLO measurement and application error telemetry.</w:t>
            </w:r>
          </w:p>
        </w:tc>
      </w:tr>
      <w:tr>
        <w:tc>
          <w:tcPr>
            <w:tcW w:type="dxa" w:w="3360"/>
          </w:tcPr>
          <w:p>
            <w:r>
              <w:t>Infrastructure</w:t>
            </w:r>
          </w:p>
        </w:tc>
        <w:tc>
          <w:tcPr>
            <w:tcW w:type="dxa" w:w="3360"/>
          </w:tcPr>
          <w:p>
            <w:r>
              <w:t>Kubernetes + Terraform/OpenTofu + Helm</w:t>
            </w:r>
          </w:p>
        </w:tc>
        <w:tc>
          <w:tcPr>
            <w:tcW w:type="dxa" w:w="3360"/>
          </w:tcPr>
          <w:p>
            <w:r>
              <w:t>Portable deployment model with policy-as-code, repeatable environments and multi-region evolution.</w:t>
            </w:r>
          </w:p>
        </w:tc>
      </w:tr>
      <w:tr>
        <w:tc>
          <w:tcPr>
            <w:tcW w:type="dxa" w:w="3360"/>
          </w:tcPr>
          <w:p>
            <w:r>
              <w:t>Secrets and keys</w:t>
            </w:r>
          </w:p>
        </w:tc>
        <w:tc>
          <w:tcPr>
            <w:tcW w:type="dxa" w:w="3360"/>
          </w:tcPr>
          <w:p>
            <w:r>
              <w:t>Cloud KMS/HSM + Vault-compatible interface</w:t>
            </w:r>
          </w:p>
        </w:tc>
        <w:tc>
          <w:tcPr>
            <w:tcW w:type="dxa" w:w="3360"/>
          </w:tcPr>
          <w:p>
            <w:r>
              <w:t>Envelope encryption, tenant/region key policies, rotation and auditable secrets lifecycle.</w:t>
            </w:r>
          </w:p>
        </w:tc>
      </w:tr>
      <w:tr>
        <w:tc>
          <w:tcPr>
            <w:tcW w:type="dxa" w:w="3360"/>
          </w:tcPr>
          <w:p>
            <w:r>
              <w:t>Identity</w:t>
            </w:r>
          </w:p>
        </w:tc>
        <w:tc>
          <w:tcPr>
            <w:tcW w:type="dxa" w:w="3360"/>
          </w:tcPr>
          <w:p>
            <w:r>
              <w:t>OIDC/OAuth 2.1 + FIDO2/WebAuthn; enterprise SAML federation</w:t>
            </w:r>
          </w:p>
        </w:tc>
        <w:tc>
          <w:tcPr>
            <w:tcW w:type="dxa" w:w="3360"/>
          </w:tcPr>
          <w:p>
            <w:r>
              <w:t>Standards-based workforce/patient identity, MFA/passkeys and enterprise federation.</w:t>
            </w:r>
          </w:p>
        </w:tc>
      </w:tr>
      <w:tr>
        <w:tc>
          <w:tcPr>
            <w:tcW w:type="dxa" w:w="3360"/>
          </w:tcPr>
          <w:p>
            <w:r>
              <w:t>Healthcare interoperability</w:t>
            </w:r>
          </w:p>
        </w:tc>
        <w:tc>
          <w:tcPr>
            <w:tcW w:type="dxa" w:w="3360"/>
          </w:tcPr>
          <w:p>
            <w:r>
              <w:t>HL7 FHIR R4 baseline + R5 compatibility, SMART on FHIR, DICOM/DICOMweb</w:t>
            </w:r>
          </w:p>
        </w:tc>
        <w:tc>
          <w:tcPr>
            <w:tcW w:type="dxa" w:w="3360"/>
          </w:tcPr>
          <w:p>
            <w:r>
              <w:t>Global compatibility while supporting the installed base of R4 ecosystems and newer R5 capabilities.</w:t>
            </w:r>
          </w:p>
        </w:tc>
      </w:tr>
      <w:tr>
        <w:tc>
          <w:tcPr>
            <w:tcW w:type="dxa" w:w="3360"/>
          </w:tcPr>
          <w:p>
            <w:r>
              <w:t>Clinical terminology</w:t>
            </w:r>
          </w:p>
        </w:tc>
        <w:tc>
          <w:tcPr>
            <w:tcW w:type="dxa" w:w="3360"/>
          </w:tcPr>
          <w:p>
            <w:r>
              <w:t>SNOMED CT, LOINC, ICD-10/ICD-11 mapping, UCUM, local formularies</w:t>
            </w:r>
          </w:p>
        </w:tc>
        <w:tc>
          <w:tcPr>
            <w:tcW w:type="dxa" w:w="3360"/>
          </w:tcPr>
          <w:p>
            <w:r>
              <w:t>Terminology service prevents uncontrolled strings and supports localization/regulatory reporting.</w:t>
            </w:r>
          </w:p>
        </w:tc>
      </w:tr>
      <w:tr>
        <w:tc>
          <w:tcPr>
            <w:tcW w:type="dxa" w:w="3360"/>
          </w:tcPr>
          <w:p>
            <w:r>
              <w:t>Feature delivery</w:t>
            </w:r>
          </w:p>
        </w:tc>
        <w:tc>
          <w:tcPr>
            <w:tcW w:type="dxa" w:w="3360"/>
          </w:tcPr>
          <w:p>
            <w:r>
              <w:t>GitHub Actions + Argo CD + progressive delivery</w:t>
            </w:r>
          </w:p>
        </w:tc>
        <w:tc>
          <w:tcPr>
            <w:tcW w:type="dxa" w:w="3360"/>
          </w:tcPr>
          <w:p>
            <w:r>
              <w:t>Automated policy/test gates, declarative deployments, canary/shadow releases and rapid rollback.</w:t>
            </w:r>
          </w:p>
        </w:tc>
      </w:tr>
    </w:tbl>
    <w:p>
      <w:pPr>
        <w:pStyle w:val="Heading1"/>
      </w:pPr>
      <w:r>
        <w:t>4. System Decomposition</w:t>
      </w:r>
    </w:p>
    <w:p>
      <w:pPr>
        <w:pStyle w:val="ListBullet"/>
      </w:pPr>
      <w:r>
        <w:t>Experience Plane — clinician/admin web, patient mobile, partner/marketplace apps.</w:t>
      </w:r>
    </w:p>
    <w:p>
      <w:pPr>
        <w:pStyle w:val="ListBullet"/>
      </w:pPr>
      <w:r>
        <w:t>Identity &amp; Edge Plane — gateway, WAF, auth, authorization, tenant/purpose context.</w:t>
      </w:r>
    </w:p>
    <w:p>
      <w:pPr>
        <w:pStyle w:val="ListBullet"/>
      </w:pPr>
      <w:r>
        <w:t>Healthcare Domain Plane — patient, encounters, orders, labs, pharmacy, care, billing, claims.</w:t>
      </w:r>
    </w:p>
    <w:p>
      <w:pPr>
        <w:pStyle w:val="ListBullet"/>
      </w:pPr>
      <w:r>
        <w:t>Workflow Plane — Temporal workflows and Kafka events.</w:t>
      </w:r>
    </w:p>
    <w:p>
      <w:pPr>
        <w:pStyle w:val="ListBullet"/>
      </w:pPr>
      <w:r>
        <w:t>Intelligence Plane — twins, evidence graph, AI gateway, agents, prediction services.</w:t>
      </w:r>
    </w:p>
    <w:p>
      <w:pPr>
        <w:pStyle w:val="ListBullet"/>
      </w:pPr>
      <w:r>
        <w:t>Interoperability Plane — FHIR, SMART, DICOMweb, devices, payer and national integrations.</w:t>
      </w:r>
    </w:p>
    <w:p>
      <w:pPr>
        <w:pStyle w:val="ListBullet"/>
      </w:pPr>
      <w:r>
        <w:t>Data Plane — PostgreSQL, object storage, search, streaming and lakehouse.</w:t>
      </w:r>
    </w:p>
    <w:p>
      <w:pPr>
        <w:pStyle w:val="ListBullet"/>
      </w:pPr>
      <w:r>
        <w:t>Control Plane — configuration, model/prompt registry, policies, metering, feature flags.</w:t>
      </w:r>
    </w:p>
    <w:p>
      <w:pPr>
        <w:pStyle w:val="ListBullet"/>
      </w:pPr>
      <w:r>
        <w:t>Trust Plane — audit, security telemetry, key management, backups, DR and compliance evidence.</w:t>
      </w:r>
    </w:p>
    <w:p>
      <w:pPr>
        <w:pStyle w:val="Heading1"/>
      </w:pPr>
      <w:r>
        <w:t>5. Data &amp; Interoperability Architecture</w:t>
      </w:r>
    </w:p>
    <w:p>
      <w:r>
        <w:t>Clinical source-of-truth records remain normalized and authoritative. Patient/Facility/Population twins are derived materializations that can always be traced back to source records and their versions. AI outputs are stored separately from source facts and must carry explicit provenance and review state.</w:t>
      </w:r>
    </w:p>
    <w:p>
      <w:pPr>
        <w:pStyle w:val="Heading2"/>
      </w:pPr>
      <w:r>
        <w:t>Standards baseline</w:t>
      </w:r>
    </w:p>
    <w:p>
      <w:pPr>
        <w:pStyle w:val="ListBullet"/>
      </w:pPr>
      <w:r>
        <w:t>Clinical exchange: HL7 FHIR R4; R5 compatibility; SMART on FHIR</w:t>
      </w:r>
    </w:p>
    <w:p>
      <w:pPr>
        <w:pStyle w:val="ListBullet"/>
      </w:pPr>
      <w:r>
        <w:t>Imaging: DICOM and DICOMweb</w:t>
      </w:r>
    </w:p>
    <w:p>
      <w:pPr>
        <w:pStyle w:val="ListBullet"/>
      </w:pPr>
      <w:r>
        <w:t>Terminology: SNOMED CT, LOINC, ICD, UCUM; national/local code systems</w:t>
      </w:r>
    </w:p>
    <w:p>
      <w:pPr>
        <w:pStyle w:val="ListBullet"/>
      </w:pPr>
      <w:r>
        <w:t>Security: NIST CSF 2.0; ISO/IEC 27001 family; zero-trust architecture; OWASP ASVS/API/GenAI guidance</w:t>
      </w:r>
    </w:p>
    <w:p>
      <w:pPr>
        <w:pStyle w:val="ListBullet"/>
      </w:pPr>
      <w:r>
        <w:t>AI risk: NIST AI RMF + Generative AI Profile; WHO AI-for-health governance</w:t>
      </w:r>
    </w:p>
    <w:p>
      <w:pPr>
        <w:pStyle w:val="ListBullet"/>
      </w:pPr>
      <w:r>
        <w:t>Medical software: Jurisdiction-dependent application of IEC 62304, ISO 14971, IEC 62366-1, IEC 81001-5-1, ISO 13485 and related standards</w:t>
      </w:r>
    </w:p>
    <w:p>
      <w:pPr>
        <w:pStyle w:val="ListBullet"/>
      </w:pPr>
      <w:r>
        <w:t>Privacy: Jurisdiction matrix including GDPR/EHDS, HIPAA where applicable, Ghana Data Protection Act and other local laws</w:t>
      </w:r>
    </w:p>
    <w:p>
      <w:pPr>
        <w:pStyle w:val="ListBullet"/>
      </w:pPr>
      <w:r>
        <w:t>Cloud/SRE: SLO/error budgets, progressive delivery, chaos testing, SBOM/provenance, policy-as-code</w:t>
      </w:r>
    </w:p>
    <w:p>
      <w:pPr>
        <w:pStyle w:val="Heading2"/>
      </w:pPr>
      <w:r>
        <w:t>Event and integration model</w:t>
      </w:r>
    </w:p>
    <w:p>
      <w:r>
        <w:t>Use a transactional outbox/CDC pattern for domain events. Kafka distributes events to materialized-state builders, search, analytics, integration adapters and monitoring. External calls and long-running workflows are controlled by Temporal so retries, approvals and timeouts are durable and observable.</w:t>
      </w:r>
    </w:p>
    <w:p>
      <w:pPr>
        <w:pStyle w:val="Heading1"/>
      </w:pPr>
      <w:r>
        <w:t>6. AI-Native Architecture</w:t>
      </w:r>
    </w:p>
    <w:p>
      <w:pPr>
        <w:pStyle w:val="Heading2"/>
      </w:pPr>
      <w:r>
        <w:t>AI Gateway</w:t>
      </w:r>
    </w:p>
    <w:p>
      <w:r>
        <w:t>All model calls pass through a central AI Gateway. It enforces provider/model policy, tenant/jurisdiction restrictions, PHI rules, prompt/model versions, structured outputs, budgets, telemetry, rate limits and fallback behavior.</w:t>
      </w:r>
    </w:p>
    <w:p>
      <w:pPr>
        <w:pStyle w:val="Heading2"/>
      </w:pPr>
      <w:r>
        <w:t>Agent contract</w:t>
      </w:r>
    </w:p>
    <w:p>
      <w:pPr>
        <w:pStyle w:val="ListBullet"/>
      </w:pPr>
      <w:r>
        <w:t>Purpose and owner</w:t>
      </w:r>
    </w:p>
    <w:p>
      <w:pPr>
        <w:pStyle w:val="ListBullet"/>
      </w:pPr>
      <w:r>
        <w:t>Allowed users and risk class</w:t>
      </w:r>
    </w:p>
    <w:p>
      <w:pPr>
        <w:pStyle w:val="ListBullet"/>
      </w:pPr>
      <w:r>
        <w:t>Allowed tools and data scopes</w:t>
      </w:r>
    </w:p>
    <w:p>
      <w:pPr>
        <w:pStyle w:val="ListBullet"/>
      </w:pPr>
      <w:r>
        <w:t>Model routing policy</w:t>
      </w:r>
    </w:p>
    <w:p>
      <w:pPr>
        <w:pStyle w:val="ListBullet"/>
      </w:pPr>
      <w:r>
        <w:t>System prompt/prompt version</w:t>
      </w:r>
    </w:p>
    <w:p>
      <w:pPr>
        <w:pStyle w:val="ListBullet"/>
      </w:pPr>
      <w:r>
        <w:t>Input/output schemas</w:t>
      </w:r>
    </w:p>
    <w:p>
      <w:pPr>
        <w:pStyle w:val="ListBullet"/>
      </w:pPr>
      <w:r>
        <w:t>Approval requirements</w:t>
      </w:r>
    </w:p>
    <w:p>
      <w:pPr>
        <w:pStyle w:val="ListBullet"/>
      </w:pPr>
      <w:r>
        <w:t>Budget, timeout and retry behavior</w:t>
      </w:r>
    </w:p>
    <w:p>
      <w:pPr>
        <w:pStyle w:val="ListBullet"/>
      </w:pPr>
      <w:r>
        <w:t>Evaluation suite</w:t>
      </w:r>
    </w:p>
    <w:p>
      <w:pPr>
        <w:pStyle w:val="ListBullet"/>
      </w:pPr>
      <w:r>
        <w:t>Failure mode and fallback</w:t>
      </w:r>
    </w:p>
    <w:p>
      <w:pPr>
        <w:pStyle w:val="ListBullet"/>
      </w:pPr>
      <w:r>
        <w:t>Audit and retention rules</w:t>
      </w:r>
    </w:p>
    <w:p>
      <w:pPr>
        <w:pStyle w:val="Heading2"/>
      </w:pPr>
      <w:r>
        <w:t>Evidence-first response contract</w:t>
      </w:r>
    </w:p>
    <w:p>
      <w:r>
        <w:t>Material clinical outputs should return: answer/claim, evidence references, source dates, model and prompt version, confidence/calibration where meaningful, limitations, data freshness and required human-review state. If evidence is insufficient, the system must say so rather than manufacture certainty.</w:t>
      </w:r>
    </w:p>
    <w:p>
      <w:pPr>
        <w:pStyle w:val="Heading1"/>
      </w:pPr>
      <w:r>
        <w:t>7. Clinical Safety &amp; Regulatory Separation</w:t>
      </w:r>
    </w:p>
    <w:p>
      <w:r>
        <w:t>CuraSphere should use capability-by-capability intended-use classification. Administrative AI and documentation support can follow the standard SaaS release train. Clinical functions that materially influence diagnosis or treatment may require a medical-device quality/regulatory pathway depending on jurisdiction and claims.</w:t>
      </w:r>
    </w:p>
    <w:p>
      <w:pPr>
        <w:pStyle w:val="ListBullet"/>
      </w:pPr>
      <w:r>
        <w:t>Maintain a living hazard/risk file.</w:t>
      </w:r>
    </w:p>
    <w:p>
      <w:pPr>
        <w:pStyle w:val="ListBullet"/>
      </w:pPr>
      <w:r>
        <w:t>Separate deterministic hard-safety rules from generative advice.</w:t>
      </w:r>
    </w:p>
    <w:p>
      <w:pPr>
        <w:pStyle w:val="ListBullet"/>
      </w:pPr>
      <w:r>
        <w:t>Validate against the intended population and clinical setting.</w:t>
      </w:r>
    </w:p>
    <w:p>
      <w:pPr>
        <w:pStyle w:val="ListBullet"/>
      </w:pPr>
      <w:r>
        <w:t>Monitor real-world performance and human overrides.</w:t>
      </w:r>
    </w:p>
    <w:p>
      <w:pPr>
        <w:pStyle w:val="ListBullet"/>
      </w:pPr>
      <w:r>
        <w:t>Treat material model/prompt/data changes as controlled changes.</w:t>
      </w:r>
    </w:p>
    <w:p>
      <w:pPr>
        <w:pStyle w:val="ListBullet"/>
      </w:pPr>
      <w:r>
        <w:t>Keep marketing claims synchronized with validated intended use.</w:t>
      </w:r>
    </w:p>
    <w:p>
      <w:pPr>
        <w:pStyle w:val="Heading1"/>
      </w:pPr>
      <w:r>
        <w:t>8. Security, Privacy &amp; Trust</w:t>
      </w:r>
    </w:p>
    <w:p>
      <w:pPr>
        <w:pStyle w:val="ListBullet"/>
      </w:pPr>
      <w:r>
        <w:t>Zero trust for users and workloads; mTLS/service identity for east-west traffic.</w:t>
      </w:r>
    </w:p>
    <w:p>
      <w:pPr>
        <w:pStyle w:val="ListBullet"/>
      </w:pPr>
      <w:r>
        <w:t>RBAC plus ABAC for patient relationship, purpose of use, facility, confidentiality and emergency access.</w:t>
      </w:r>
    </w:p>
    <w:p>
      <w:pPr>
        <w:pStyle w:val="ListBullet"/>
      </w:pPr>
      <w:r>
        <w:t>Encryption at rest/in transit; key separation and rotation policies.</w:t>
      </w:r>
    </w:p>
    <w:p>
      <w:pPr>
        <w:pStyle w:val="ListBullet"/>
      </w:pPr>
      <w:r>
        <w:t>Immutable or tamper-evident audit for sensitive access and AI actions.</w:t>
      </w:r>
    </w:p>
    <w:p>
      <w:pPr>
        <w:pStyle w:val="ListBullet"/>
      </w:pPr>
      <w:r>
        <w:t>Data minimization and purpose binding for AI context.</w:t>
      </w:r>
    </w:p>
    <w:p>
      <w:pPr>
        <w:pStyle w:val="ListBullet"/>
      </w:pPr>
      <w:r>
        <w:t>No provider receives PHI unless contractual and technical policy permits it.</w:t>
      </w:r>
    </w:p>
    <w:p>
      <w:pPr>
        <w:pStyle w:val="ListBullet"/>
      </w:pPr>
      <w:r>
        <w:t>Dedicated threat models for prompt injection, indirect injection, tool abuse, model supply chain and PHI exfiltration.</w:t>
      </w:r>
    </w:p>
    <w:p>
      <w:pPr>
        <w:pStyle w:val="ListBullet"/>
      </w:pPr>
      <w:r>
        <w:t>SBOM, signed artifacts and dependency/provenance controls in CI/CD.</w:t>
      </w:r>
    </w:p>
    <w:p>
      <w:pPr>
        <w:pStyle w:val="Heading1"/>
      </w:pPr>
      <w:r>
        <w:t>9. Testing &amp; Quality Gates</w:t>
      </w:r>
    </w:p>
    <w:p>
      <w:pPr>
        <w:pStyle w:val="ListBullet"/>
      </w:pPr>
      <w:r>
        <w:t>Unit/component tests</w:t>
      </w:r>
    </w:p>
    <w:p>
      <w:pPr>
        <w:pStyle w:val="ListBullet"/>
      </w:pPr>
      <w:r>
        <w:t>Integration and database tests</w:t>
      </w:r>
    </w:p>
    <w:p>
      <w:pPr>
        <w:pStyle w:val="ListBullet"/>
      </w:pPr>
      <w:r>
        <w:t>API/event contract tests</w:t>
      </w:r>
    </w:p>
    <w:p>
      <w:pPr>
        <w:pStyle w:val="ListBullet"/>
      </w:pPr>
      <w:r>
        <w:t>Authorization and tenant-isolation tests</w:t>
      </w:r>
    </w:p>
    <w:p>
      <w:pPr>
        <w:pStyle w:val="ListBullet"/>
      </w:pPr>
      <w:r>
        <w:t>FHIR/DICOM/terminology conformance tests</w:t>
      </w:r>
    </w:p>
    <w:p>
      <w:pPr>
        <w:pStyle w:val="ListBullet"/>
      </w:pPr>
      <w:r>
        <w:t>Performance/load/soak tests</w:t>
      </w:r>
    </w:p>
    <w:p>
      <w:pPr>
        <w:pStyle w:val="ListBullet"/>
      </w:pPr>
      <w:r>
        <w:t>Chaos and dependency-failure tests</w:t>
      </w:r>
    </w:p>
    <w:p>
      <w:pPr>
        <w:pStyle w:val="ListBullet"/>
      </w:pPr>
      <w:r>
        <w:t>Static/dynamic security and supply-chain tests</w:t>
      </w:r>
    </w:p>
    <w:p>
      <w:pPr>
        <w:pStyle w:val="ListBullet"/>
      </w:pPr>
      <w:r>
        <w:t>Accessibility and human-factors checks</w:t>
      </w:r>
    </w:p>
    <w:p>
      <w:pPr>
        <w:pStyle w:val="ListBullet"/>
      </w:pPr>
      <w:r>
        <w:t>AI grounding, hallucination, injection, subgroup, consistency, latency and cost evaluations</w:t>
      </w:r>
    </w:p>
    <w:p>
      <w:pPr>
        <w:pStyle w:val="ListBullet"/>
      </w:pPr>
      <w:r>
        <w:t>Clinical validation where applicable</w:t>
      </w:r>
    </w:p>
    <w:p>
      <w:r>
        <w:t>A phase cannot be declared complete because the UI works. Completion means functional behavior, data integrity, security, tenant isolation, safety, observability, rollback and documentation all pass.</w:t>
      </w:r>
    </w:p>
    <w:p>
      <w:pPr>
        <w:pStyle w:val="Heading1"/>
      </w:pPr>
      <w:r>
        <w:t>10. SRE, Release &amp; Operations</w:t>
      </w:r>
    </w:p>
    <w:p>
      <w:r>
        <w:t>Adopt user-journey SLOs and error budgets, progressive delivery, feature flags, on-call ownership, runbooks, incident command, blameless post-incident review, quarterly disaster-recovery exercises and capacity/cost planning. AI systems add model-quality SLOs such as grounded-response rate, invalid-tool-call rate, stale-context rate and fallback rate.</w:t>
      </w:r>
    </w:p>
    <w:p>
      <w:pPr>
        <w:pStyle w:val="Heading1"/>
      </w:pPr>
      <w:r>
        <w:t>11. Monetization &amp; Platform Economics</w:t>
      </w:r>
    </w:p>
    <w:p>
      <w:r>
        <w:t>Commercial architecture should support base subscription + metered AI + premium modules + enterprise controls + marketplace revenue. Usage metering is a platform service and must be independently auditable. Paid AI exhaustion must never break the non-AI clinical workflow.</w:t>
      </w:r>
    </w:p>
    <w:p>
      <w:pPr>
        <w:pStyle w:val="Heading1"/>
      </w:pPr>
      <w:r>
        <w:t>12. Implementation Roadmap</w:t>
      </w:r>
    </w:p>
    <w:p>
      <w:r>
        <w:t>The phases below are dependency-ordered gates rather than arbitrary calendar sprints. Multiple teams may work in parallel only where phase dependencies and safety boundaries are explicit.</w:t>
      </w:r>
    </w:p>
    <w:p>
      <w:pPr>
        <w:pStyle w:val="Heading2"/>
      </w:pPr>
      <w:r>
        <w:t>Phase 00 — Company, Product &amp; Quality Constitution</w:t>
      </w:r>
    </w:p>
    <w:p>
      <w:r>
        <w:t>Establish product principles, intended-use governance, documentation standards, QMS-lite controls, risk taxonomy and architecture decision process.</w:t>
      </w:r>
    </w:p>
    <w:p>
      <w:r>
        <w:t>Scope:</w:t>
      </w:r>
    </w:p>
    <w:p>
      <w:pPr>
        <w:pStyle w:val="ListBullet"/>
      </w:pPr>
      <w:r>
        <w:t>Product charter and market boundaries</w:t>
      </w:r>
    </w:p>
    <w:p>
      <w:pPr>
        <w:pStyle w:val="ListBullet"/>
      </w:pPr>
      <w:r>
        <w:t>Feature intended-use classification template</w:t>
      </w:r>
    </w:p>
    <w:p>
      <w:pPr>
        <w:pStyle w:val="ListBullet"/>
      </w:pPr>
      <w:r>
        <w:t>RFC/ADR templates</w:t>
      </w:r>
    </w:p>
    <w:p>
      <w:pPr>
        <w:pStyle w:val="ListBullet"/>
      </w:pPr>
      <w:r>
        <w:t>Clinical safety and AI risk registers</w:t>
      </w:r>
    </w:p>
    <w:p>
      <w:pPr>
        <w:pStyle w:val="ListBullet"/>
      </w:pPr>
      <w:r>
        <w:t>Definition of Done and release gates</w:t>
      </w:r>
    </w:p>
    <w:p>
      <w:r>
        <w:t>Exit criteria:</w:t>
      </w:r>
    </w:p>
    <w:p>
      <w:pPr>
        <w:pStyle w:val="ListBullet"/>
      </w:pPr>
      <w:r>
        <w:t>No application code beyond documentation tooling</w:t>
      </w:r>
    </w:p>
    <w:p>
      <w:pPr>
        <w:pStyle w:val="ListBullet"/>
      </w:pPr>
      <w:r>
        <w:t>Every future feature has an owner, intended user, intended use and risk class</w:t>
      </w:r>
    </w:p>
    <w:p>
      <w:pPr>
        <w:pStyle w:val="ListBullet"/>
      </w:pPr>
      <w:r>
        <w:t>Architecture/security/clinical review workflow exists</w:t>
      </w:r>
    </w:p>
    <w:p>
      <w:pPr>
        <w:pStyle w:val="Heading2"/>
      </w:pPr>
      <w:r>
        <w:t>Phase 01 — Platform Repository &amp; Developer Experience</w:t>
      </w:r>
    </w:p>
    <w:p>
      <w:r>
        <w:t>Create polyglot monorepo, build tooling, local platform, CI, dependency policy and software supply-chain controls.</w:t>
      </w:r>
    </w:p>
    <w:p>
      <w:r>
        <w:t>Scope:</w:t>
      </w:r>
    </w:p>
    <w:p>
      <w:pPr>
        <w:pStyle w:val="ListBullet"/>
      </w:pPr>
      <w:r>
        <w:t>apps/web, apps/mobile</w:t>
      </w:r>
    </w:p>
    <w:p>
      <w:pPr>
        <w:pStyle w:val="ListBullet"/>
      </w:pPr>
      <w:r>
        <w:t>services/* Kotlin</w:t>
      </w:r>
    </w:p>
    <w:p>
      <w:pPr>
        <w:pStyle w:val="ListBullet"/>
      </w:pPr>
      <w:r>
        <w:t>ai/* Python</w:t>
      </w:r>
    </w:p>
    <w:p>
      <w:pPr>
        <w:pStyle w:val="ListBullet"/>
      </w:pPr>
      <w:r>
        <w:t>packages/contracts/design-system/fhir</w:t>
      </w:r>
    </w:p>
    <w:p>
      <w:pPr>
        <w:pStyle w:val="ListBullet"/>
      </w:pPr>
      <w:r>
        <w:t>infra Kubernetes/Terraform</w:t>
      </w:r>
    </w:p>
    <w:p>
      <w:pPr>
        <w:pStyle w:val="ListBullet"/>
      </w:pPr>
      <w:r>
        <w:t>CI lint/type/test/SBOM/signing</w:t>
      </w:r>
    </w:p>
    <w:p>
      <w:r>
        <w:t>Exit criteria:</w:t>
      </w:r>
    </w:p>
    <w:p>
      <w:pPr>
        <w:pStyle w:val="ListBullet"/>
      </w:pPr>
      <w:r>
        <w:t>One-command local environment</w:t>
      </w:r>
    </w:p>
    <w:p>
      <w:pPr>
        <w:pStyle w:val="ListBullet"/>
      </w:pPr>
      <w:r>
        <w:t>Reproducible builds</w:t>
      </w:r>
    </w:p>
    <w:p>
      <w:pPr>
        <w:pStyle w:val="ListBullet"/>
      </w:pPr>
      <w:r>
        <w:t>Protected branches and required reviews</w:t>
      </w:r>
    </w:p>
    <w:p>
      <w:pPr>
        <w:pStyle w:val="ListBullet"/>
      </w:pPr>
      <w:r>
        <w:t>No critical dependency vulnerabilities</w:t>
      </w:r>
    </w:p>
    <w:p>
      <w:pPr>
        <w:pStyle w:val="Heading2"/>
      </w:pPr>
      <w:r>
        <w:t>Phase 02 — Identity, Tenancy &amp; Zero Trust</w:t>
      </w:r>
    </w:p>
    <w:p>
      <w:r>
        <w:t>Implement organizations, facilities, workforce users, patients, service identities, RBAC+ABAC and policy enforcement.</w:t>
      </w:r>
    </w:p>
    <w:p>
      <w:r>
        <w:t>Scope:</w:t>
      </w:r>
    </w:p>
    <w:p>
      <w:pPr>
        <w:pStyle w:val="ListBullet"/>
      </w:pPr>
      <w:r>
        <w:t>OIDC/OAuth2.1</w:t>
      </w:r>
    </w:p>
    <w:p>
      <w:pPr>
        <w:pStyle w:val="ListBullet"/>
      </w:pPr>
      <w:r>
        <w:t>MFA/passkeys</w:t>
      </w:r>
    </w:p>
    <w:p>
      <w:pPr>
        <w:pStyle w:val="ListBullet"/>
      </w:pPr>
      <w:r>
        <w:t>tenant/facility context</w:t>
      </w:r>
    </w:p>
    <w:p>
      <w:pPr>
        <w:pStyle w:val="ListBullet"/>
      </w:pPr>
      <w:r>
        <w:t>RBAC + purpose-of-use ABAC</w:t>
      </w:r>
    </w:p>
    <w:p>
      <w:pPr>
        <w:pStyle w:val="ListBullet"/>
      </w:pPr>
      <w:r>
        <w:t>break-glass access with reason and audit</w:t>
      </w:r>
    </w:p>
    <w:p>
      <w:r>
        <w:t>Exit criteria:</w:t>
      </w:r>
    </w:p>
    <w:p>
      <w:pPr>
        <w:pStyle w:val="ListBullet"/>
      </w:pPr>
      <w:r>
        <w:t>Cross-tenant access tests prove isolation</w:t>
      </w:r>
    </w:p>
    <w:p>
      <w:pPr>
        <w:pStyle w:val="ListBullet"/>
      </w:pPr>
      <w:r>
        <w:t>Privilege escalation tests pass</w:t>
      </w:r>
    </w:p>
    <w:p>
      <w:pPr>
        <w:pStyle w:val="ListBullet"/>
      </w:pPr>
      <w:r>
        <w:t>All access decisions are auditable</w:t>
      </w:r>
    </w:p>
    <w:p>
      <w:pPr>
        <w:pStyle w:val="Heading2"/>
      </w:pPr>
      <w:r>
        <w:t>Phase 03 — Audit, Consent, Privacy &amp; Data Governance</w:t>
      </w:r>
    </w:p>
    <w:p>
      <w:r>
        <w:t>Build immutable audit trail, consent directives, retention, data classification and access logging before clinical expansion.</w:t>
      </w:r>
    </w:p>
    <w:p>
      <w:r>
        <w:t>Scope:</w:t>
      </w:r>
    </w:p>
    <w:p>
      <w:pPr>
        <w:pStyle w:val="ListBullet"/>
      </w:pPr>
      <w:r>
        <w:t>AuditEvent service</w:t>
      </w:r>
    </w:p>
    <w:p>
      <w:pPr>
        <w:pStyle w:val="ListBullet"/>
      </w:pPr>
      <w:r>
        <w:t>Consent/authorization records</w:t>
      </w:r>
    </w:p>
    <w:p>
      <w:pPr>
        <w:pStyle w:val="ListBullet"/>
      </w:pPr>
      <w:r>
        <w:t>Data retention engine</w:t>
      </w:r>
    </w:p>
    <w:p>
      <w:pPr>
        <w:pStyle w:val="ListBullet"/>
      </w:pPr>
      <w:r>
        <w:t>DSAR/export/delete workflows where legally applicable</w:t>
      </w:r>
    </w:p>
    <w:p>
      <w:pPr>
        <w:pStyle w:val="ListBullet"/>
      </w:pPr>
      <w:r>
        <w:t>PHI/PII log scrubbing</w:t>
      </w:r>
    </w:p>
    <w:p>
      <w:r>
        <w:t>Exit criteria:</w:t>
      </w:r>
    </w:p>
    <w:p>
      <w:pPr>
        <w:pStyle w:val="ListBullet"/>
      </w:pPr>
      <w:r>
        <w:t>Every sensitive read/write is attributable</w:t>
      </w:r>
    </w:p>
    <w:p>
      <w:pPr>
        <w:pStyle w:val="ListBullet"/>
      </w:pPr>
      <w:r>
        <w:t>Retention policies are configurable by jurisdiction</w:t>
      </w:r>
    </w:p>
    <w:p>
      <w:pPr>
        <w:pStyle w:val="ListBullet"/>
      </w:pPr>
      <w:r>
        <w:t>Break-glass and bulk export are specially monitored</w:t>
      </w:r>
    </w:p>
    <w:p>
      <w:pPr>
        <w:pStyle w:val="Heading2"/>
      </w:pPr>
      <w:r>
        <w:t>Phase 04 — Core Healthcare Domain</w:t>
      </w:r>
    </w:p>
    <w:p>
      <w:r>
        <w:t>Implement patient, practitioner, appointment, encounter, condition, allergy, observation, medication, orders, care plan, referral and billing primitives.</w:t>
      </w:r>
    </w:p>
    <w:p>
      <w:r>
        <w:t>Scope:</w:t>
      </w:r>
    </w:p>
    <w:p>
      <w:pPr>
        <w:pStyle w:val="ListBullet"/>
      </w:pPr>
      <w:r>
        <w:t>Normalized domain model</w:t>
      </w:r>
    </w:p>
    <w:p>
      <w:pPr>
        <w:pStyle w:val="ListBullet"/>
      </w:pPr>
      <w:r>
        <w:t>Transactional APIs</w:t>
      </w:r>
    </w:p>
    <w:p>
      <w:pPr>
        <w:pStyle w:val="ListBullet"/>
      </w:pPr>
      <w:r>
        <w:t>versioned contracts</w:t>
      </w:r>
    </w:p>
    <w:p>
      <w:pPr>
        <w:pStyle w:val="ListBullet"/>
      </w:pPr>
      <w:r>
        <w:t>optimistic concurrency</w:t>
      </w:r>
    </w:p>
    <w:p>
      <w:pPr>
        <w:pStyle w:val="ListBullet"/>
      </w:pPr>
      <w:r>
        <w:t>idempotency keys</w:t>
      </w:r>
    </w:p>
    <w:p>
      <w:r>
        <w:t>Exit criteria:</w:t>
      </w:r>
    </w:p>
    <w:p>
      <w:pPr>
        <w:pStyle w:val="ListBullet"/>
      </w:pPr>
      <w:r>
        <w:t>No AI dependency</w:t>
      </w:r>
    </w:p>
    <w:p>
      <w:pPr>
        <w:pStyle w:val="ListBullet"/>
      </w:pPr>
      <w:r>
        <w:t>Source records are immutable/versioned where required</w:t>
      </w:r>
    </w:p>
    <w:p>
      <w:pPr>
        <w:pStyle w:val="ListBullet"/>
      </w:pPr>
      <w:r>
        <w:t>Clinical data ownership boundaries documented</w:t>
      </w:r>
    </w:p>
    <w:p>
      <w:pPr>
        <w:pStyle w:val="Heading2"/>
      </w:pPr>
      <w:r>
        <w:t>Phase 05 — Terminology &amp; Master Data</w:t>
      </w:r>
    </w:p>
    <w:p>
      <w:r>
        <w:t>Create terminology service and controlled vocabularies to prevent semantic drift.</w:t>
      </w:r>
    </w:p>
    <w:p>
      <w:r>
        <w:t>Scope:</w:t>
      </w:r>
    </w:p>
    <w:p>
      <w:pPr>
        <w:pStyle w:val="ListBullet"/>
      </w:pPr>
      <w:r>
        <w:t>SNOMED/LOINC/ICD/UCUM mappings</w:t>
      </w:r>
    </w:p>
    <w:p>
      <w:pPr>
        <w:pStyle w:val="ListBullet"/>
      </w:pPr>
      <w:r>
        <w:t>local terminology extensions</w:t>
      </w:r>
    </w:p>
    <w:p>
      <w:pPr>
        <w:pStyle w:val="ListBullet"/>
      </w:pPr>
      <w:r>
        <w:t>versioned code systems/value sets</w:t>
      </w:r>
    </w:p>
    <w:p>
      <w:pPr>
        <w:pStyle w:val="ListBullet"/>
      </w:pPr>
      <w:r>
        <w:t>formularies and facility catalogs</w:t>
      </w:r>
    </w:p>
    <w:p>
      <w:r>
        <w:t>Exit criteria:</w:t>
      </w:r>
    </w:p>
    <w:p>
      <w:pPr>
        <w:pStyle w:val="ListBullet"/>
      </w:pPr>
      <w:r>
        <w:t>Unknown codes fail safely</w:t>
      </w:r>
    </w:p>
    <w:p>
      <w:pPr>
        <w:pStyle w:val="ListBullet"/>
      </w:pPr>
      <w:r>
        <w:t>Terminology versions are recorded with clinical records</w:t>
      </w:r>
    </w:p>
    <w:p>
      <w:pPr>
        <w:pStyle w:val="ListBullet"/>
      </w:pPr>
      <w:r>
        <w:t>Mapping provenance is visible</w:t>
      </w:r>
    </w:p>
    <w:p>
      <w:pPr>
        <w:pStyle w:val="Heading2"/>
      </w:pPr>
      <w:r>
        <w:t>Phase 06 — FHIR &amp; Integration Foundation</w:t>
      </w:r>
    </w:p>
    <w:p>
      <w:r>
        <w:t>Expose/import standards-based resources and integration endpoints.</w:t>
      </w:r>
    </w:p>
    <w:p>
      <w:r>
        <w:t>Scope:</w:t>
      </w:r>
    </w:p>
    <w:p>
      <w:pPr>
        <w:pStyle w:val="ListBullet"/>
      </w:pPr>
      <w:r>
        <w:t>FHIR R4 resource mapping</w:t>
      </w:r>
    </w:p>
    <w:p>
      <w:pPr>
        <w:pStyle w:val="ListBullet"/>
      </w:pPr>
      <w:r>
        <w:t>R5 compatibility plan</w:t>
      </w:r>
    </w:p>
    <w:p>
      <w:pPr>
        <w:pStyle w:val="ListBullet"/>
      </w:pPr>
      <w:r>
        <w:t>SMART on FHIR authorization</w:t>
      </w:r>
    </w:p>
    <w:p>
      <w:pPr>
        <w:pStyle w:val="ListBullet"/>
      </w:pPr>
      <w:r>
        <w:t>webhooks/event subscriptions</w:t>
      </w:r>
    </w:p>
    <w:p>
      <w:pPr>
        <w:pStyle w:val="ListBullet"/>
      </w:pPr>
      <w:r>
        <w:t>bulk import/export</w:t>
      </w:r>
    </w:p>
    <w:p>
      <w:r>
        <w:t>Exit criteria:</w:t>
      </w:r>
    </w:p>
    <w:p>
      <w:pPr>
        <w:pStyle w:val="ListBullet"/>
      </w:pPr>
      <w:r>
        <w:t>FHIR validation in CI</w:t>
      </w:r>
    </w:p>
    <w:p>
      <w:pPr>
        <w:pStyle w:val="ListBullet"/>
      </w:pPr>
      <w:r>
        <w:t>Conformance statements published</w:t>
      </w:r>
    </w:p>
    <w:p>
      <w:pPr>
        <w:pStyle w:val="ListBullet"/>
      </w:pPr>
      <w:r>
        <w:t>Round-trip mapping tests for core resources</w:t>
      </w:r>
    </w:p>
    <w:p>
      <w:pPr>
        <w:pStyle w:val="Heading2"/>
      </w:pPr>
      <w:r>
        <w:t>Phase 07 — Clinical Timeline</w:t>
      </w:r>
    </w:p>
    <w:p>
      <w:r>
        <w:t>Build deterministic longitudinal event reconstruction before LLM summarization.</w:t>
      </w:r>
    </w:p>
    <w:p>
      <w:r>
        <w:t>Scope:</w:t>
      </w:r>
    </w:p>
    <w:p>
      <w:pPr>
        <w:pStyle w:val="ListBullet"/>
      </w:pPr>
      <w:r>
        <w:t>Timeline event schema</w:t>
      </w:r>
    </w:p>
    <w:p>
      <w:pPr>
        <w:pStyle w:val="ListBullet"/>
      </w:pPr>
      <w:r>
        <w:t>event normalization</w:t>
      </w:r>
    </w:p>
    <w:p>
      <w:pPr>
        <w:pStyle w:val="ListBullet"/>
      </w:pPr>
      <w:r>
        <w:t>provenance links</w:t>
      </w:r>
    </w:p>
    <w:p>
      <w:pPr>
        <w:pStyle w:val="ListBullet"/>
      </w:pPr>
      <w:r>
        <w:t>filtering/grouping</w:t>
      </w:r>
    </w:p>
    <w:p>
      <w:pPr>
        <w:pStyle w:val="ListBullet"/>
      </w:pPr>
      <w:r>
        <w:t>change-since-last-visit API</w:t>
      </w:r>
    </w:p>
    <w:p>
      <w:r>
        <w:t>Exit criteria:</w:t>
      </w:r>
    </w:p>
    <w:p>
      <w:pPr>
        <w:pStyle w:val="ListBullet"/>
      </w:pPr>
      <w:r>
        <w:t>Every event links to authoritative source</w:t>
      </w:r>
    </w:p>
    <w:p>
      <w:pPr>
        <w:pStyle w:val="ListBullet"/>
      </w:pPr>
      <w:r>
        <w:t>Timeline is reproducible</w:t>
      </w:r>
    </w:p>
    <w:p>
      <w:pPr>
        <w:pStyle w:val="ListBullet"/>
      </w:pPr>
      <w:r>
        <w:t>No generated facts</w:t>
      </w:r>
    </w:p>
    <w:p>
      <w:pPr>
        <w:pStyle w:val="Heading2"/>
      </w:pPr>
      <w:r>
        <w:t>Phase 08 — Patient Twin</w:t>
      </w:r>
    </w:p>
    <w:p>
      <w:r>
        <w:t>Create PatientState as a derived, versioned and explainable materialization.</w:t>
      </w:r>
    </w:p>
    <w:p>
      <w:r>
        <w:t>Scope:</w:t>
      </w:r>
    </w:p>
    <w:p>
      <w:pPr>
        <w:pStyle w:val="ListBullet"/>
      </w:pPr>
      <w:r>
        <w:t>active problems/meds/allergies</w:t>
      </w:r>
    </w:p>
    <w:p>
      <w:pPr>
        <w:pStyle w:val="ListBullet"/>
      </w:pPr>
      <w:r>
        <w:t>recent vitals/labs</w:t>
      </w:r>
    </w:p>
    <w:p>
      <w:pPr>
        <w:pStyle w:val="ListBullet"/>
      </w:pPr>
      <w:r>
        <w:t>open care gaps</w:t>
      </w:r>
    </w:p>
    <w:p>
      <w:pPr>
        <w:pStyle w:val="ListBullet"/>
      </w:pPr>
      <w:r>
        <w:t>pending work</w:t>
      </w:r>
    </w:p>
    <w:p>
      <w:pPr>
        <w:pStyle w:val="ListBullet"/>
      </w:pPr>
      <w:r>
        <w:t>risk-signal slots without diagnostic autonomy</w:t>
      </w:r>
    </w:p>
    <w:p>
      <w:r>
        <w:t>Exit criteria:</w:t>
      </w:r>
    </w:p>
    <w:p>
      <w:pPr>
        <w:pStyle w:val="ListBullet"/>
      </w:pPr>
      <w:r>
        <w:t>Rebuildable from source events</w:t>
      </w:r>
    </w:p>
    <w:p>
      <w:pPr>
        <w:pStyle w:val="ListBullet"/>
      </w:pPr>
      <w:r>
        <w:t>staleness timestamp visible</w:t>
      </w:r>
    </w:p>
    <w:p>
      <w:pPr>
        <w:pStyle w:val="ListBullet"/>
      </w:pPr>
      <w:r>
        <w:t>conflicts are represented, not silently merged</w:t>
      </w:r>
    </w:p>
    <w:p>
      <w:pPr>
        <w:pStyle w:val="Heading2"/>
      </w:pPr>
      <w:r>
        <w:t>Phase 09 — Evidence Graph</w:t>
      </w:r>
    </w:p>
    <w:p>
      <w:r>
        <w:t>Create claim-evidence-provenance infrastructure used by all AI modules.</w:t>
      </w:r>
    </w:p>
    <w:p>
      <w:r>
        <w:t>Scope:</w:t>
      </w:r>
    </w:p>
    <w:p>
      <w:pPr>
        <w:pStyle w:val="ListBullet"/>
      </w:pPr>
      <w:r>
        <w:t>Evidence nodes and edges</w:t>
      </w:r>
    </w:p>
    <w:p>
      <w:pPr>
        <w:pStyle w:val="ListBullet"/>
      </w:pPr>
      <w:r>
        <w:t>claim schema</w:t>
      </w:r>
    </w:p>
    <w:p>
      <w:pPr>
        <w:pStyle w:val="ListBullet"/>
      </w:pPr>
      <w:r>
        <w:t>source/date/version metadata</w:t>
      </w:r>
    </w:p>
    <w:p>
      <w:pPr>
        <w:pStyle w:val="ListBullet"/>
      </w:pPr>
      <w:r>
        <w:t>citation renderer</w:t>
      </w:r>
    </w:p>
    <w:p>
      <w:pPr>
        <w:pStyle w:val="ListBullet"/>
      </w:pPr>
      <w:r>
        <w:t>evidence sufficiency rules</w:t>
      </w:r>
    </w:p>
    <w:p>
      <w:r>
        <w:t>Exit criteria:</w:t>
      </w:r>
    </w:p>
    <w:p>
      <w:pPr>
        <w:pStyle w:val="ListBullet"/>
      </w:pPr>
      <w:r>
        <w:t>No important generated claim without evidence state</w:t>
      </w:r>
    </w:p>
    <w:p>
      <w:pPr>
        <w:pStyle w:val="ListBullet"/>
      </w:pPr>
      <w:r>
        <w:t>Deleted/changed source invalidates derived claims</w:t>
      </w:r>
    </w:p>
    <w:p>
      <w:pPr>
        <w:pStyle w:val="ListBullet"/>
      </w:pPr>
      <w:r>
        <w:t>Evidence permissions inherit source permissions</w:t>
      </w:r>
    </w:p>
    <w:p>
      <w:pPr>
        <w:pStyle w:val="Heading2"/>
      </w:pPr>
      <w:r>
        <w:t>Phase 10 — AI Gateway &amp; Model Control Plane</w:t>
      </w:r>
    </w:p>
    <w:p>
      <w:r>
        <w:t>Implement provider-neutral, policy-aware model access and cost governance.</w:t>
      </w:r>
    </w:p>
    <w:p>
      <w:r>
        <w:t>Scope:</w:t>
      </w:r>
    </w:p>
    <w:p>
      <w:pPr>
        <w:pStyle w:val="ListBullet"/>
      </w:pPr>
      <w:r>
        <w:t>provider adapters</w:t>
      </w:r>
    </w:p>
    <w:p>
      <w:pPr>
        <w:pStyle w:val="ListBullet"/>
      </w:pPr>
      <w:r>
        <w:t>model router</w:t>
      </w:r>
    </w:p>
    <w:p>
      <w:pPr>
        <w:pStyle w:val="ListBullet"/>
      </w:pPr>
      <w:r>
        <w:t>prompt registry</w:t>
      </w:r>
    </w:p>
    <w:p>
      <w:pPr>
        <w:pStyle w:val="ListBullet"/>
      </w:pPr>
      <w:r>
        <w:t>model registry</w:t>
      </w:r>
    </w:p>
    <w:p>
      <w:pPr>
        <w:pStyle w:val="ListBullet"/>
      </w:pPr>
      <w:r>
        <w:t>token/cost quotas</w:t>
      </w:r>
    </w:p>
    <w:p>
      <w:pPr>
        <w:pStyle w:val="ListBullet"/>
      </w:pPr>
      <w:r>
        <w:t>redaction/guardrails</w:t>
      </w:r>
    </w:p>
    <w:p>
      <w:pPr>
        <w:pStyle w:val="ListBullet"/>
      </w:pPr>
      <w:r>
        <w:t>structured output validation</w:t>
      </w:r>
    </w:p>
    <w:p>
      <w:r>
        <w:t>Exit criteria:</w:t>
      </w:r>
    </w:p>
    <w:p>
      <w:pPr>
        <w:pStyle w:val="ListBullet"/>
      </w:pPr>
      <w:r>
        <w:t>Business services cannot call providers directly</w:t>
      </w:r>
    </w:p>
    <w:p>
      <w:pPr>
        <w:pStyle w:val="ListBullet"/>
      </w:pPr>
      <w:r>
        <w:t>All calls have trace IDs and model versions</w:t>
      </w:r>
    </w:p>
    <w:p>
      <w:pPr>
        <w:pStyle w:val="ListBullet"/>
      </w:pPr>
      <w:r>
        <w:t>Provider outage degrades safely</w:t>
      </w:r>
    </w:p>
    <w:p>
      <w:pPr>
        <w:pStyle w:val="Heading2"/>
      </w:pPr>
      <w:r>
        <w:t>Phase 11 — Agent Runtime &amp; Durable Orchestration</w:t>
      </w:r>
    </w:p>
    <w:p>
      <w:r>
        <w:t>Create a permissioned tool-calling agent framework built on durable workflows.</w:t>
      </w:r>
    </w:p>
    <w:p>
      <w:r>
        <w:t>Scope:</w:t>
      </w:r>
    </w:p>
    <w:p>
      <w:pPr>
        <w:pStyle w:val="ListBullet"/>
      </w:pPr>
      <w:r>
        <w:t>agent manifest</w:t>
      </w:r>
    </w:p>
    <w:p>
      <w:pPr>
        <w:pStyle w:val="ListBullet"/>
      </w:pPr>
      <w:r>
        <w:t>tool registry</w:t>
      </w:r>
    </w:p>
    <w:p>
      <w:pPr>
        <w:pStyle w:val="ListBullet"/>
      </w:pPr>
      <w:r>
        <w:t>capability permissions</w:t>
      </w:r>
    </w:p>
    <w:p>
      <w:pPr>
        <w:pStyle w:val="ListBullet"/>
      </w:pPr>
      <w:r>
        <w:t>Temporal workflows</w:t>
      </w:r>
    </w:p>
    <w:p>
      <w:pPr>
        <w:pStyle w:val="ListBullet"/>
      </w:pPr>
      <w:r>
        <w:t>approval tasks</w:t>
      </w:r>
    </w:p>
    <w:p>
      <w:pPr>
        <w:pStyle w:val="ListBullet"/>
      </w:pPr>
      <w:r>
        <w:t>sandboxing</w:t>
      </w:r>
    </w:p>
    <w:p>
      <w:pPr>
        <w:pStyle w:val="ListBullet"/>
      </w:pPr>
      <w:r>
        <w:t>execution audit</w:t>
      </w:r>
    </w:p>
    <w:p>
      <w:r>
        <w:t>Exit criteria:</w:t>
      </w:r>
    </w:p>
    <w:p>
      <w:pPr>
        <w:pStyle w:val="ListBullet"/>
      </w:pPr>
      <w:r>
        <w:t>Agents cannot exceed manifest permissions</w:t>
      </w:r>
    </w:p>
    <w:p>
      <w:pPr>
        <w:pStyle w:val="ListBullet"/>
      </w:pPr>
      <w:r>
        <w:t>Retries are idempotent</w:t>
      </w:r>
    </w:p>
    <w:p>
      <w:pPr>
        <w:pStyle w:val="ListBullet"/>
      </w:pPr>
      <w:r>
        <w:t>Human approval survives process/server failure</w:t>
      </w:r>
    </w:p>
    <w:p>
      <w:pPr>
        <w:pStyle w:val="Heading2"/>
      </w:pPr>
      <w:r>
        <w:t>Phase 12 — Patient Summary &amp; Clinical Copilot v1</w:t>
      </w:r>
    </w:p>
    <w:p>
      <w:r>
        <w:t>Ship first evidence-grounded clinician assistant with read-only clinical scope.</w:t>
      </w:r>
    </w:p>
    <w:p>
      <w:r>
        <w:t>Scope:</w:t>
      </w:r>
    </w:p>
    <w:p>
      <w:pPr>
        <w:pStyle w:val="ListBullet"/>
      </w:pPr>
      <w:r>
        <w:t>patient summary</w:t>
      </w:r>
    </w:p>
    <w:p>
      <w:pPr>
        <w:pStyle w:val="ListBullet"/>
      </w:pPr>
      <w:r>
        <w:t>what changed</w:t>
      </w:r>
    </w:p>
    <w:p>
      <w:pPr>
        <w:pStyle w:val="ListBullet"/>
      </w:pPr>
      <w:r>
        <w:t>abnormal/open items</w:t>
      </w:r>
    </w:p>
    <w:p>
      <w:pPr>
        <w:pStyle w:val="ListBullet"/>
      </w:pPr>
      <w:r>
        <w:t>evidence drawer</w:t>
      </w:r>
    </w:p>
    <w:p>
      <w:pPr>
        <w:pStyle w:val="ListBullet"/>
      </w:pPr>
      <w:r>
        <w:t>conversation scoped to patient</w:t>
      </w:r>
    </w:p>
    <w:p>
      <w:pPr>
        <w:pStyle w:val="ListBullet"/>
      </w:pPr>
      <w:r>
        <w:t>no autonomous diagnosis/treatment</w:t>
      </w:r>
    </w:p>
    <w:p>
      <w:r>
        <w:t>Exit criteria:</w:t>
      </w:r>
    </w:p>
    <w:p>
      <w:pPr>
        <w:pStyle w:val="ListBullet"/>
      </w:pPr>
      <w:r>
        <w:t>Grounding evaluation threshold defined</w:t>
      </w:r>
    </w:p>
    <w:p>
      <w:pPr>
        <w:pStyle w:val="ListBullet"/>
      </w:pPr>
      <w:r>
        <w:t>unsupported claims are blocked/flagged</w:t>
      </w:r>
    </w:p>
    <w:p>
      <w:pPr>
        <w:pStyle w:val="ListBullet"/>
      </w:pPr>
      <w:r>
        <w:t>clinician feedback captured</w:t>
      </w:r>
    </w:p>
    <w:p>
      <w:pPr>
        <w:pStyle w:val="Heading2"/>
      </w:pPr>
      <w:r>
        <w:t>Phase 13 — Clinical Documentation &amp; Ambient Drafting</w:t>
      </w:r>
    </w:p>
    <w:p>
      <w:r>
        <w:t>Convert encounter audio/text into draft structured documentation with explicit review.</w:t>
      </w:r>
    </w:p>
    <w:p>
      <w:r>
        <w:t>Scope:</w:t>
      </w:r>
    </w:p>
    <w:p>
      <w:pPr>
        <w:pStyle w:val="ListBullet"/>
      </w:pPr>
      <w:r>
        <w:t>consent indicator</w:t>
      </w:r>
    </w:p>
    <w:p>
      <w:pPr>
        <w:pStyle w:val="ListBullet"/>
      </w:pPr>
      <w:r>
        <w:t>speech-to-text</w:t>
      </w:r>
    </w:p>
    <w:p>
      <w:pPr>
        <w:pStyle w:val="ListBullet"/>
      </w:pPr>
      <w:r>
        <w:t>speaker segmentation where lawful</w:t>
      </w:r>
    </w:p>
    <w:p>
      <w:pPr>
        <w:pStyle w:val="ListBullet"/>
      </w:pPr>
      <w:r>
        <w:t>structured extraction</w:t>
      </w:r>
    </w:p>
    <w:p>
      <w:pPr>
        <w:pStyle w:val="ListBullet"/>
      </w:pPr>
      <w:r>
        <w:t>draft note</w:t>
      </w:r>
    </w:p>
    <w:p>
      <w:pPr>
        <w:pStyle w:val="ListBullet"/>
      </w:pPr>
      <w:r>
        <w:t>approve/edit/reject</w:t>
      </w:r>
    </w:p>
    <w:p>
      <w:r>
        <w:t>Exit criteria:</w:t>
      </w:r>
    </w:p>
    <w:p>
      <w:pPr>
        <w:pStyle w:val="ListBullet"/>
      </w:pPr>
      <w:r>
        <w:t>Never auto-sign</w:t>
      </w:r>
    </w:p>
    <w:p>
      <w:pPr>
        <w:pStyle w:val="ListBullet"/>
      </w:pPr>
      <w:r>
        <w:t>audio retention configurable</w:t>
      </w:r>
    </w:p>
    <w:p>
      <w:pPr>
        <w:pStyle w:val="ListBullet"/>
      </w:pPr>
      <w:r>
        <w:t>draft vs clinician-authored state visibly distinct</w:t>
      </w:r>
    </w:p>
    <w:p>
      <w:pPr>
        <w:pStyle w:val="Heading2"/>
      </w:pPr>
      <w:r>
        <w:t>Phase 14 — CuraLab</w:t>
      </w:r>
    </w:p>
    <w:p>
      <w:r>
        <w:t>Implement laboratory order/result workflows plus deterministic and AI-assisted trend intelligence.</w:t>
      </w:r>
    </w:p>
    <w:p>
      <w:r>
        <w:t>Scope:</w:t>
      </w:r>
    </w:p>
    <w:p>
      <w:pPr>
        <w:pStyle w:val="ListBullet"/>
      </w:pPr>
      <w:r>
        <w:t>orders/specimens/results</w:t>
      </w:r>
    </w:p>
    <w:p>
      <w:pPr>
        <w:pStyle w:val="ListBullet"/>
      </w:pPr>
      <w:r>
        <w:t>reference ranges</w:t>
      </w:r>
    </w:p>
    <w:p>
      <w:pPr>
        <w:pStyle w:val="ListBullet"/>
      </w:pPr>
      <w:r>
        <w:t>critical result workflow</w:t>
      </w:r>
    </w:p>
    <w:p>
      <w:pPr>
        <w:pStyle w:val="ListBullet"/>
      </w:pPr>
      <w:r>
        <w:t>trend engine</w:t>
      </w:r>
    </w:p>
    <w:p>
      <w:pPr>
        <w:pStyle w:val="ListBullet"/>
      </w:pPr>
      <w:r>
        <w:t>explanation layer</w:t>
      </w:r>
    </w:p>
    <w:p>
      <w:r>
        <w:t>Exit criteria:</w:t>
      </w:r>
    </w:p>
    <w:p>
      <w:pPr>
        <w:pStyle w:val="ListBullet"/>
      </w:pPr>
      <w:r>
        <w:t>Critical values use deterministic rules</w:t>
      </w:r>
    </w:p>
    <w:p>
      <w:pPr>
        <w:pStyle w:val="ListBullet"/>
      </w:pPr>
      <w:r>
        <w:t>AI cannot suppress critical alerts</w:t>
      </w:r>
    </w:p>
    <w:p>
      <w:pPr>
        <w:pStyle w:val="ListBullet"/>
      </w:pPr>
      <w:r>
        <w:t>units/reference range provenance retained</w:t>
      </w:r>
    </w:p>
    <w:p>
      <w:pPr>
        <w:pStyle w:val="Heading2"/>
      </w:pPr>
      <w:r>
        <w:t>Phase 15 — CuraRx</w:t>
      </w:r>
    </w:p>
    <w:p>
      <w:r>
        <w:t>Implement medication lifecycle and medication safety services.</w:t>
      </w:r>
    </w:p>
    <w:p>
      <w:r>
        <w:t>Scope:</w:t>
      </w:r>
    </w:p>
    <w:p>
      <w:pPr>
        <w:pStyle w:val="ListBullet"/>
      </w:pPr>
      <w:r>
        <w:t>prescribing/dispensing/admin history</w:t>
      </w:r>
    </w:p>
    <w:p>
      <w:pPr>
        <w:pStyle w:val="ListBullet"/>
      </w:pPr>
      <w:r>
        <w:t>allergy checks</w:t>
      </w:r>
    </w:p>
    <w:p>
      <w:pPr>
        <w:pStyle w:val="ListBullet"/>
      </w:pPr>
      <w:r>
        <w:t>interaction engine</w:t>
      </w:r>
    </w:p>
    <w:p>
      <w:pPr>
        <w:pStyle w:val="ListBullet"/>
      </w:pPr>
      <w:r>
        <w:t>duplicate therapy</w:t>
      </w:r>
    </w:p>
    <w:p>
      <w:pPr>
        <w:pStyle w:val="ListBullet"/>
      </w:pPr>
      <w:r>
        <w:t>refill/adherence signals</w:t>
      </w:r>
    </w:p>
    <w:p>
      <w:pPr>
        <w:pStyle w:val="ListBullet"/>
      </w:pPr>
      <w:r>
        <w:t>formulary</w:t>
      </w:r>
    </w:p>
    <w:p>
      <w:r>
        <w:t>Exit criteria:</w:t>
      </w:r>
    </w:p>
    <w:p>
      <w:pPr>
        <w:pStyle w:val="ListBullet"/>
      </w:pPr>
      <w:r>
        <w:t>Medication safety rule source/version recorded</w:t>
      </w:r>
    </w:p>
    <w:p>
      <w:pPr>
        <w:pStyle w:val="ListBullet"/>
      </w:pPr>
      <w:r>
        <w:t>high-risk warnings require acknowledgement</w:t>
      </w:r>
    </w:p>
    <w:p>
      <w:pPr>
        <w:pStyle w:val="ListBullet"/>
      </w:pPr>
      <w:r>
        <w:t>AI text cannot bypass deterministic checks</w:t>
      </w:r>
    </w:p>
    <w:p>
      <w:pPr>
        <w:pStyle w:val="Heading2"/>
      </w:pPr>
      <w:r>
        <w:t>Phase 16 — Care Coordination &amp; Patient Engagement</w:t>
      </w:r>
    </w:p>
    <w:p>
      <w:r>
        <w:t>Extend beyond encounter to referrals, care plans, reminders, messaging and care gaps.</w:t>
      </w:r>
    </w:p>
    <w:p>
      <w:r>
        <w:t>Scope:</w:t>
      </w:r>
    </w:p>
    <w:p>
      <w:pPr>
        <w:pStyle w:val="ListBullet"/>
      </w:pPr>
      <w:r>
        <w:t>referrals</w:t>
      </w:r>
    </w:p>
    <w:p>
      <w:pPr>
        <w:pStyle w:val="ListBullet"/>
      </w:pPr>
      <w:r>
        <w:t>follow-ups</w:t>
      </w:r>
    </w:p>
    <w:p>
      <w:pPr>
        <w:pStyle w:val="ListBullet"/>
      </w:pPr>
      <w:r>
        <w:t>care plans</w:t>
      </w:r>
    </w:p>
    <w:p>
      <w:pPr>
        <w:pStyle w:val="ListBullet"/>
      </w:pPr>
      <w:r>
        <w:t>task ownership</w:t>
      </w:r>
    </w:p>
    <w:p>
      <w:pPr>
        <w:pStyle w:val="ListBullet"/>
      </w:pPr>
      <w:r>
        <w:t>patient messaging</w:t>
      </w:r>
    </w:p>
    <w:p>
      <w:pPr>
        <w:pStyle w:val="ListBullet"/>
      </w:pPr>
      <w:r>
        <w:t>care-gap engine</w:t>
      </w:r>
    </w:p>
    <w:p>
      <w:r>
        <w:t>Exit criteria:</w:t>
      </w:r>
    </w:p>
    <w:p>
      <w:pPr>
        <w:pStyle w:val="ListBullet"/>
      </w:pPr>
      <w:r>
        <w:t>Message templates localized</w:t>
      </w:r>
    </w:p>
    <w:p>
      <w:pPr>
        <w:pStyle w:val="ListBullet"/>
      </w:pPr>
      <w:r>
        <w:t>patient preference/consent enforced</w:t>
      </w:r>
    </w:p>
    <w:p>
      <w:pPr>
        <w:pStyle w:val="ListBullet"/>
      </w:pPr>
      <w:r>
        <w:t>escalation paths for failed outreach</w:t>
      </w:r>
    </w:p>
    <w:p>
      <w:pPr>
        <w:pStyle w:val="Heading2"/>
      </w:pPr>
      <w:r>
        <w:t>Phase 17 — Patient App &amp; Patient AI</w:t>
      </w:r>
    </w:p>
    <w:p>
      <w:r>
        <w:t>Provide patient-controlled access, education, scheduling, results explanation and care preparation.</w:t>
      </w:r>
    </w:p>
    <w:p>
      <w:r>
        <w:t>Scope:</w:t>
      </w:r>
    </w:p>
    <w:p>
      <w:pPr>
        <w:pStyle w:val="ListBullet"/>
      </w:pPr>
      <w:r>
        <w:t>records and appointments</w:t>
      </w:r>
    </w:p>
    <w:p>
      <w:pPr>
        <w:pStyle w:val="ListBullet"/>
      </w:pPr>
      <w:r>
        <w:t>medication list</w:t>
      </w:r>
    </w:p>
    <w:p>
      <w:pPr>
        <w:pStyle w:val="ListBullet"/>
      </w:pPr>
      <w:r>
        <w:t>patient-friendly explanations</w:t>
      </w:r>
    </w:p>
    <w:p>
      <w:pPr>
        <w:pStyle w:val="ListBullet"/>
      </w:pPr>
      <w:r>
        <w:t>question preparation</w:t>
      </w:r>
    </w:p>
    <w:p>
      <w:pPr>
        <w:pStyle w:val="ListBullet"/>
      </w:pPr>
      <w:r>
        <w:t>payments/insurance</w:t>
      </w:r>
    </w:p>
    <w:p>
      <w:pPr>
        <w:pStyle w:val="ListBullet"/>
      </w:pPr>
      <w:r>
        <w:t>secure messaging</w:t>
      </w:r>
    </w:p>
    <w:p>
      <w:r>
        <w:t>Exit criteria:</w:t>
      </w:r>
    </w:p>
    <w:p>
      <w:pPr>
        <w:pStyle w:val="ListBullet"/>
      </w:pPr>
      <w:r>
        <w:t>Patient AI has narrower tools than clinician AI</w:t>
      </w:r>
    </w:p>
    <w:p>
      <w:pPr>
        <w:pStyle w:val="ListBullet"/>
      </w:pPr>
      <w:r>
        <w:t>urgent symptom flows route to safe triage instructions</w:t>
      </w:r>
    </w:p>
    <w:p>
      <w:pPr>
        <w:pStyle w:val="ListBullet"/>
      </w:pPr>
      <w:r>
        <w:t>no hidden clinician-only data</w:t>
      </w:r>
    </w:p>
    <w:p>
      <w:pPr>
        <w:pStyle w:val="Heading2"/>
      </w:pPr>
      <w:r>
        <w:t>Phase 18 — Facility Twin</w:t>
      </w:r>
    </w:p>
    <w:p>
      <w:r>
        <w:t>Create real-time state representation for facility operations.</w:t>
      </w:r>
    </w:p>
    <w:p>
      <w:r>
        <w:t>Scope:</w:t>
      </w:r>
    </w:p>
    <w:p>
      <w:pPr>
        <w:pStyle w:val="ListBullet"/>
      </w:pPr>
      <w:r>
        <w:t>beds</w:t>
      </w:r>
    </w:p>
    <w:p>
      <w:pPr>
        <w:pStyle w:val="ListBullet"/>
      </w:pPr>
      <w:r>
        <w:t>queues</w:t>
      </w:r>
    </w:p>
    <w:p>
      <w:pPr>
        <w:pStyle w:val="ListBullet"/>
      </w:pPr>
      <w:r>
        <w:t>staffing</w:t>
      </w:r>
    </w:p>
    <w:p>
      <w:pPr>
        <w:pStyle w:val="ListBullet"/>
      </w:pPr>
      <w:r>
        <w:t>appointments</w:t>
      </w:r>
    </w:p>
    <w:p>
      <w:pPr>
        <w:pStyle w:val="ListBullet"/>
      </w:pPr>
      <w:r>
        <w:t>lab backlog</w:t>
      </w:r>
    </w:p>
    <w:p>
      <w:pPr>
        <w:pStyle w:val="ListBullet"/>
      </w:pPr>
      <w:r>
        <w:t>pharmacy state</w:t>
      </w:r>
    </w:p>
    <w:p>
      <w:pPr>
        <w:pStyle w:val="ListBullet"/>
      </w:pPr>
      <w:r>
        <w:t>equipment</w:t>
      </w:r>
    </w:p>
    <w:p>
      <w:pPr>
        <w:pStyle w:val="ListBullet"/>
      </w:pPr>
      <w:r>
        <w:t>capacity</w:t>
      </w:r>
    </w:p>
    <w:p>
      <w:r>
        <w:t>Exit criteria:</w:t>
      </w:r>
    </w:p>
    <w:p>
      <w:pPr>
        <w:pStyle w:val="ListBullet"/>
      </w:pPr>
      <w:r>
        <w:t>Freshness/SLA shown per signal</w:t>
      </w:r>
    </w:p>
    <w:p>
      <w:pPr>
        <w:pStyle w:val="ListBullet"/>
      </w:pPr>
      <w:r>
        <w:t>source systems remain authoritative</w:t>
      </w:r>
    </w:p>
    <w:p>
      <w:pPr>
        <w:pStyle w:val="ListBullet"/>
      </w:pPr>
      <w:r>
        <w:t>facility state supports event-driven updates</w:t>
      </w:r>
    </w:p>
    <w:p>
      <w:pPr>
        <w:pStyle w:val="Heading2"/>
      </w:pPr>
      <w:r>
        <w:t>Phase 19 — Operations Intelligence</w:t>
      </w:r>
    </w:p>
    <w:p>
      <w:r>
        <w:t>Forecast and optimize non-clinical hospital operations.</w:t>
      </w:r>
    </w:p>
    <w:p>
      <w:r>
        <w:t>Scope:</w:t>
      </w:r>
    </w:p>
    <w:p>
      <w:pPr>
        <w:pStyle w:val="ListBullet"/>
      </w:pPr>
      <w:r>
        <w:t>wait-time analytics</w:t>
      </w:r>
    </w:p>
    <w:p>
      <w:pPr>
        <w:pStyle w:val="ListBullet"/>
      </w:pPr>
      <w:r>
        <w:t>capacity forecasts</w:t>
      </w:r>
    </w:p>
    <w:p>
      <w:pPr>
        <w:pStyle w:val="ListBullet"/>
      </w:pPr>
      <w:r>
        <w:t>inventory forecasts</w:t>
      </w:r>
    </w:p>
    <w:p>
      <w:pPr>
        <w:pStyle w:val="ListBullet"/>
      </w:pPr>
      <w:r>
        <w:t>staffing recommendations</w:t>
      </w:r>
    </w:p>
    <w:p>
      <w:pPr>
        <w:pStyle w:val="ListBullet"/>
      </w:pPr>
      <w:r>
        <w:t>bottleneck detection</w:t>
      </w:r>
    </w:p>
    <w:p>
      <w:r>
        <w:t>Exit criteria:</w:t>
      </w:r>
    </w:p>
    <w:p>
      <w:pPr>
        <w:pStyle w:val="ListBullet"/>
      </w:pPr>
      <w:r>
        <w:t>Recommendations show factors and confidence</w:t>
      </w:r>
    </w:p>
    <w:p>
      <w:pPr>
        <w:pStyle w:val="ListBullet"/>
      </w:pPr>
      <w:r>
        <w:t>manual override always available</w:t>
      </w:r>
    </w:p>
    <w:p>
      <w:pPr>
        <w:pStyle w:val="ListBullet"/>
      </w:pPr>
      <w:r>
        <w:t>business KPI impact measured</w:t>
      </w:r>
    </w:p>
    <w:p>
      <w:pPr>
        <w:pStyle w:val="Heading2"/>
      </w:pPr>
      <w:r>
        <w:t>Phase 20 — Analytics &amp; Lakehouse</w:t>
      </w:r>
    </w:p>
    <w:p>
      <w:r>
        <w:t>Build governed secondary-use analytics platform separated from transactional workloads.</w:t>
      </w:r>
    </w:p>
    <w:p>
      <w:r>
        <w:t>Scope:</w:t>
      </w:r>
    </w:p>
    <w:p>
      <w:pPr>
        <w:pStyle w:val="ListBullet"/>
      </w:pPr>
      <w:r>
        <w:t>CDC/event ingestion</w:t>
      </w:r>
    </w:p>
    <w:p>
      <w:pPr>
        <w:pStyle w:val="ListBullet"/>
      </w:pPr>
      <w:r>
        <w:t>Iceberg lakehouse</w:t>
      </w:r>
    </w:p>
    <w:p>
      <w:pPr>
        <w:pStyle w:val="ListBullet"/>
      </w:pPr>
      <w:r>
        <w:t>semantic metrics layer</w:t>
      </w:r>
    </w:p>
    <w:p>
      <w:pPr>
        <w:pStyle w:val="ListBullet"/>
      </w:pPr>
      <w:r>
        <w:t>de-identification pipelines</w:t>
      </w:r>
    </w:p>
    <w:p>
      <w:pPr>
        <w:pStyle w:val="ListBullet"/>
      </w:pPr>
      <w:r>
        <w:t>tenant analytics marts</w:t>
      </w:r>
    </w:p>
    <w:p>
      <w:r>
        <w:t>Exit criteria:</w:t>
      </w:r>
    </w:p>
    <w:p>
      <w:pPr>
        <w:pStyle w:val="ListBullet"/>
      </w:pPr>
      <w:r>
        <w:t>No analytics query can bypass governance</w:t>
      </w:r>
    </w:p>
    <w:p>
      <w:pPr>
        <w:pStyle w:val="ListBullet"/>
      </w:pPr>
      <w:r>
        <w:t>lineage tracked end-to-end</w:t>
      </w:r>
    </w:p>
    <w:p>
      <w:pPr>
        <w:pStyle w:val="ListBullet"/>
      </w:pPr>
      <w:r>
        <w:t>re-identification risk assessed for exports</w:t>
      </w:r>
    </w:p>
    <w:p>
      <w:pPr>
        <w:pStyle w:val="Heading2"/>
      </w:pPr>
      <w:r>
        <w:t>Phase 21 — Population Intelligence</w:t>
      </w:r>
    </w:p>
    <w:p>
      <w:r>
        <w:t>Aggregate authorized/de-identified insights for cohorts, public health and multi-facility intelligence.</w:t>
      </w:r>
    </w:p>
    <w:p>
      <w:r>
        <w:t>Scope:</w:t>
      </w:r>
    </w:p>
    <w:p>
      <w:pPr>
        <w:pStyle w:val="ListBullet"/>
      </w:pPr>
      <w:r>
        <w:t>cohort builder</w:t>
      </w:r>
    </w:p>
    <w:p>
      <w:pPr>
        <w:pStyle w:val="ListBullet"/>
      </w:pPr>
      <w:r>
        <w:t>geospatial trends</w:t>
      </w:r>
    </w:p>
    <w:p>
      <w:pPr>
        <w:pStyle w:val="ListBullet"/>
      </w:pPr>
      <w:r>
        <w:t>disease surveillance</w:t>
      </w:r>
    </w:p>
    <w:p>
      <w:pPr>
        <w:pStyle w:val="ListBullet"/>
      </w:pPr>
      <w:r>
        <w:t>vaccination/chronic disease dashboards</w:t>
      </w:r>
    </w:p>
    <w:p>
      <w:pPr>
        <w:pStyle w:val="ListBullet"/>
      </w:pPr>
      <w:r>
        <w:t>privacy thresholds</w:t>
      </w:r>
    </w:p>
    <w:p>
      <w:r>
        <w:t>Exit criteria:</w:t>
      </w:r>
    </w:p>
    <w:p>
      <w:pPr>
        <w:pStyle w:val="ListBullet"/>
      </w:pPr>
      <w:r>
        <w:t>Minimum cohort/privacy rules enforced</w:t>
      </w:r>
    </w:p>
    <w:p>
      <w:pPr>
        <w:pStyle w:val="ListBullet"/>
      </w:pPr>
      <w:r>
        <w:t>jurisdictional secondary-use controls applied</w:t>
      </w:r>
    </w:p>
    <w:p>
      <w:pPr>
        <w:pStyle w:val="ListBullet"/>
      </w:pPr>
      <w:r>
        <w:t>population outputs cannot reveal individuals</w:t>
      </w:r>
    </w:p>
    <w:p>
      <w:pPr>
        <w:pStyle w:val="Heading2"/>
      </w:pPr>
      <w:r>
        <w:t>Phase 22 — CuraResearch</w:t>
      </w:r>
    </w:p>
    <w:p>
      <w:r>
        <w:t>Create governed research workspaces, cohorts and reproducible datasets.</w:t>
      </w:r>
    </w:p>
    <w:p>
      <w:r>
        <w:t>Scope:</w:t>
      </w:r>
    </w:p>
    <w:p>
      <w:pPr>
        <w:pStyle w:val="ListBullet"/>
      </w:pPr>
      <w:r>
        <w:t>protocol/workspace</w:t>
      </w:r>
    </w:p>
    <w:p>
      <w:pPr>
        <w:pStyle w:val="ListBullet"/>
      </w:pPr>
      <w:r>
        <w:t>IRB/ethics status metadata</w:t>
      </w:r>
    </w:p>
    <w:p>
      <w:pPr>
        <w:pStyle w:val="ListBullet"/>
      </w:pPr>
      <w:r>
        <w:t>dataset snapshots</w:t>
      </w:r>
    </w:p>
    <w:p>
      <w:pPr>
        <w:pStyle w:val="ListBullet"/>
      </w:pPr>
      <w:r>
        <w:t>de-identification</w:t>
      </w:r>
    </w:p>
    <w:p>
      <w:pPr>
        <w:pStyle w:val="ListBullet"/>
      </w:pPr>
      <w:r>
        <w:t>analysis notebooks/exports</w:t>
      </w:r>
    </w:p>
    <w:p>
      <w:pPr>
        <w:pStyle w:val="ListBullet"/>
      </w:pPr>
      <w:r>
        <w:t>provenance</w:t>
      </w:r>
    </w:p>
    <w:p>
      <w:r>
        <w:t>Exit criteria:</w:t>
      </w:r>
    </w:p>
    <w:p>
      <w:pPr>
        <w:pStyle w:val="ListBullet"/>
      </w:pPr>
      <w:r>
        <w:t>Research access is purpose-bound</w:t>
      </w:r>
    </w:p>
    <w:p>
      <w:pPr>
        <w:pStyle w:val="ListBullet"/>
      </w:pPr>
      <w:r>
        <w:t>dataset versions immutable</w:t>
      </w:r>
    </w:p>
    <w:p>
      <w:pPr>
        <w:pStyle w:val="ListBullet"/>
      </w:pPr>
      <w:r>
        <w:t>export approvals and audit trail</w:t>
      </w:r>
    </w:p>
    <w:p>
      <w:pPr>
        <w:pStyle w:val="Heading2"/>
      </w:pPr>
      <w:r>
        <w:t>Phase 23 — Imaging &amp; DICOM Foundation</w:t>
      </w:r>
    </w:p>
    <w:p>
      <w:r>
        <w:t>Introduce PACS-style integration and imaging workflows without autonomous interpretation.</w:t>
      </w:r>
    </w:p>
    <w:p>
      <w:r>
        <w:t>Scope:</w:t>
      </w:r>
    </w:p>
    <w:p>
      <w:pPr>
        <w:pStyle w:val="ListBullet"/>
      </w:pPr>
      <w:r>
        <w:t>DICOM/DICOMweb gateway</w:t>
      </w:r>
    </w:p>
    <w:p>
      <w:pPr>
        <w:pStyle w:val="ListBullet"/>
      </w:pPr>
      <w:r>
        <w:t>study metadata</w:t>
      </w:r>
    </w:p>
    <w:p>
      <w:pPr>
        <w:pStyle w:val="ListBullet"/>
      </w:pPr>
      <w:r>
        <w:t>viewer integration</w:t>
      </w:r>
    </w:p>
    <w:p>
      <w:pPr>
        <w:pStyle w:val="ListBullet"/>
      </w:pPr>
      <w:r>
        <w:t>report linkage</w:t>
      </w:r>
    </w:p>
    <w:p>
      <w:pPr>
        <w:pStyle w:val="ListBullet"/>
      </w:pPr>
      <w:r>
        <w:t>de-identification pipeline</w:t>
      </w:r>
    </w:p>
    <w:p>
      <w:r>
        <w:t>Exit criteria:</w:t>
      </w:r>
    </w:p>
    <w:p>
      <w:pPr>
        <w:pStyle w:val="ListBullet"/>
      </w:pPr>
      <w:r>
        <w:t>Large-object performance tested</w:t>
      </w:r>
    </w:p>
    <w:p>
      <w:pPr>
        <w:pStyle w:val="ListBullet"/>
      </w:pPr>
      <w:r>
        <w:t>imaging permissions enforced</w:t>
      </w:r>
    </w:p>
    <w:p>
      <w:pPr>
        <w:pStyle w:val="ListBullet"/>
      </w:pPr>
      <w:r>
        <w:t>diagnostic AI remains separate validated module</w:t>
      </w:r>
    </w:p>
    <w:p>
      <w:pPr>
        <w:pStyle w:val="Heading2"/>
      </w:pPr>
      <w:r>
        <w:t>Phase 24 — Devices &amp; Remote Monitoring</w:t>
      </w:r>
    </w:p>
    <w:p>
      <w:r>
        <w:t>Integrate wearables/medical devices with normalized observation ingestion and alert governance.</w:t>
      </w:r>
    </w:p>
    <w:p>
      <w:r>
        <w:t>Scope:</w:t>
      </w:r>
    </w:p>
    <w:p>
      <w:pPr>
        <w:pStyle w:val="ListBullet"/>
      </w:pPr>
      <w:r>
        <w:t>device registry</w:t>
      </w:r>
    </w:p>
    <w:p>
      <w:pPr>
        <w:pStyle w:val="ListBullet"/>
      </w:pPr>
      <w:r>
        <w:t>device identity</w:t>
      </w:r>
    </w:p>
    <w:p>
      <w:pPr>
        <w:pStyle w:val="ListBullet"/>
      </w:pPr>
      <w:r>
        <w:t>stream ingestion</w:t>
      </w:r>
    </w:p>
    <w:p>
      <w:pPr>
        <w:pStyle w:val="ListBullet"/>
      </w:pPr>
      <w:r>
        <w:t>normalization</w:t>
      </w:r>
    </w:p>
    <w:p>
      <w:pPr>
        <w:pStyle w:val="ListBullet"/>
      </w:pPr>
      <w:r>
        <w:t>connectivity status</w:t>
      </w:r>
    </w:p>
    <w:p>
      <w:pPr>
        <w:pStyle w:val="ListBullet"/>
      </w:pPr>
      <w:r>
        <w:t>threshold workflows</w:t>
      </w:r>
    </w:p>
    <w:p>
      <w:r>
        <w:t>Exit criteria:</w:t>
      </w:r>
    </w:p>
    <w:p>
      <w:pPr>
        <w:pStyle w:val="ListBullet"/>
      </w:pPr>
      <w:r>
        <w:t>Device provenance recorded</w:t>
      </w:r>
    </w:p>
    <w:p>
      <w:pPr>
        <w:pStyle w:val="ListBullet"/>
      </w:pPr>
      <w:r>
        <w:t>duplicate/out-of-order readings handled</w:t>
      </w:r>
    </w:p>
    <w:p>
      <w:pPr>
        <w:pStyle w:val="ListBullet"/>
      </w:pPr>
      <w:r>
        <w:t>alert fatigue budget and escalation defined</w:t>
      </w:r>
    </w:p>
    <w:p>
      <w:pPr>
        <w:pStyle w:val="Heading2"/>
      </w:pPr>
      <w:r>
        <w:t>Phase 25 — Revenue, Claims &amp; Insurance</w:t>
      </w:r>
    </w:p>
    <w:p>
      <w:r>
        <w:t>Build SaaS and healthcare revenue systems with financial AI separated from clinical privileges.</w:t>
      </w:r>
    </w:p>
    <w:p>
      <w:r>
        <w:t>Scope:</w:t>
      </w:r>
    </w:p>
    <w:p>
      <w:pPr>
        <w:pStyle w:val="ListBullet"/>
      </w:pPr>
      <w:r>
        <w:t>invoices/payments</w:t>
      </w:r>
    </w:p>
    <w:p>
      <w:pPr>
        <w:pStyle w:val="ListBullet"/>
      </w:pPr>
      <w:r>
        <w:t>eligibility</w:t>
      </w:r>
    </w:p>
    <w:p>
      <w:pPr>
        <w:pStyle w:val="ListBullet"/>
      </w:pPr>
      <w:r>
        <w:t>claims lifecycle</w:t>
      </w:r>
    </w:p>
    <w:p>
      <w:pPr>
        <w:pStyle w:val="ListBullet"/>
      </w:pPr>
      <w:r>
        <w:t>denial workflow</w:t>
      </w:r>
    </w:p>
    <w:p>
      <w:pPr>
        <w:pStyle w:val="ListBullet"/>
      </w:pPr>
      <w:r>
        <w:t>reconciliation</w:t>
      </w:r>
    </w:p>
    <w:p>
      <w:pPr>
        <w:pStyle w:val="ListBullet"/>
      </w:pPr>
      <w:r>
        <w:t>subscription billing</w:t>
      </w:r>
    </w:p>
    <w:p>
      <w:pPr>
        <w:pStyle w:val="ListBullet"/>
      </w:pPr>
      <w:r>
        <w:t>usage metering</w:t>
      </w:r>
    </w:p>
    <w:p>
      <w:r>
        <w:t>Exit criteria:</w:t>
      </w:r>
    </w:p>
    <w:p>
      <w:pPr>
        <w:pStyle w:val="ListBullet"/>
      </w:pPr>
      <w:r>
        <w:t>Clinical data exposure minimized to billing purpose</w:t>
      </w:r>
    </w:p>
    <w:p>
      <w:pPr>
        <w:pStyle w:val="ListBullet"/>
      </w:pPr>
      <w:r>
        <w:t>financial ledger reconciles</w:t>
      </w:r>
    </w:p>
    <w:p>
      <w:pPr>
        <w:pStyle w:val="ListBullet"/>
      </w:pPr>
      <w:r>
        <w:t>AI recommendations never mutate ledger without workflow</w:t>
      </w:r>
    </w:p>
    <w:p>
      <w:pPr>
        <w:pStyle w:val="Heading2"/>
      </w:pPr>
      <w:r>
        <w:t>Phase 26 — AI Evaluation, MLOps &amp; Governance</w:t>
      </w:r>
    </w:p>
    <w:p>
      <w:r>
        <w:t>Institutionalize model/prompt/data evaluation and controlled promotion.</w:t>
      </w:r>
    </w:p>
    <w:p>
      <w:r>
        <w:t>Scope:</w:t>
      </w:r>
    </w:p>
    <w:p>
      <w:pPr>
        <w:pStyle w:val="ListBullet"/>
      </w:pPr>
      <w:r>
        <w:t>golden datasets</w:t>
      </w:r>
    </w:p>
    <w:p>
      <w:pPr>
        <w:pStyle w:val="ListBullet"/>
      </w:pPr>
      <w:r>
        <w:t>dataset registry/cards</w:t>
      </w:r>
    </w:p>
    <w:p>
      <w:pPr>
        <w:pStyle w:val="ListBullet"/>
      </w:pPr>
      <w:r>
        <w:t>model cards</w:t>
      </w:r>
    </w:p>
    <w:p>
      <w:pPr>
        <w:pStyle w:val="ListBullet"/>
      </w:pPr>
      <w:r>
        <w:t>prompt evals</w:t>
      </w:r>
    </w:p>
    <w:p>
      <w:pPr>
        <w:pStyle w:val="ListBullet"/>
      </w:pPr>
      <w:r>
        <w:t>subgroup metrics</w:t>
      </w:r>
    </w:p>
    <w:p>
      <w:pPr>
        <w:pStyle w:val="ListBullet"/>
      </w:pPr>
      <w:r>
        <w:t>drift monitoring</w:t>
      </w:r>
    </w:p>
    <w:p>
      <w:pPr>
        <w:pStyle w:val="ListBullet"/>
      </w:pPr>
      <w:r>
        <w:t>red-team suites</w:t>
      </w:r>
    </w:p>
    <w:p>
      <w:pPr>
        <w:pStyle w:val="ListBullet"/>
      </w:pPr>
      <w:r>
        <w:t>approval board</w:t>
      </w:r>
    </w:p>
    <w:p>
      <w:r>
        <w:t>Exit criteria:</w:t>
      </w:r>
    </w:p>
    <w:p>
      <w:pPr>
        <w:pStyle w:val="ListBullet"/>
      </w:pPr>
      <w:r>
        <w:t>No clinical model reaches production without signed evaluation</w:t>
      </w:r>
    </w:p>
    <w:p>
      <w:pPr>
        <w:pStyle w:val="ListBullet"/>
      </w:pPr>
      <w:r>
        <w:t>rollback artifact retained</w:t>
      </w:r>
    </w:p>
    <w:p>
      <w:pPr>
        <w:pStyle w:val="ListBullet"/>
      </w:pPr>
      <w:r>
        <w:t>evaluation reproducible from versioned data/code</w:t>
      </w:r>
    </w:p>
    <w:p>
      <w:pPr>
        <w:pStyle w:val="Heading2"/>
      </w:pPr>
      <w:r>
        <w:t>Phase 27 — Enterprise &amp; Multi-Region</w:t>
      </w:r>
    </w:p>
    <w:p>
      <w:r>
        <w:t>Add federation, SSO, region pinning, DR, enterprise APIs and operational isolation.</w:t>
      </w:r>
    </w:p>
    <w:p>
      <w:r>
        <w:t>Scope:</w:t>
      </w:r>
    </w:p>
    <w:p>
      <w:pPr>
        <w:pStyle w:val="ListBullet"/>
      </w:pPr>
      <w:r>
        <w:t>SAML/SCIM</w:t>
      </w:r>
    </w:p>
    <w:p>
      <w:pPr>
        <w:pStyle w:val="ListBullet"/>
      </w:pPr>
      <w:r>
        <w:t>customer-managed keys option</w:t>
      </w:r>
    </w:p>
    <w:p>
      <w:pPr>
        <w:pStyle w:val="ListBullet"/>
      </w:pPr>
      <w:r>
        <w:t>multi-region architecture</w:t>
      </w:r>
    </w:p>
    <w:p>
      <w:pPr>
        <w:pStyle w:val="ListBullet"/>
      </w:pPr>
      <w:r>
        <w:t>data residency</w:t>
      </w:r>
    </w:p>
    <w:p>
      <w:pPr>
        <w:pStyle w:val="ListBullet"/>
      </w:pPr>
      <w:r>
        <w:t>DR drills</w:t>
      </w:r>
    </w:p>
    <w:p>
      <w:pPr>
        <w:pStyle w:val="ListBullet"/>
      </w:pPr>
      <w:r>
        <w:t>private connectivity</w:t>
      </w:r>
    </w:p>
    <w:p>
      <w:pPr>
        <w:pStyle w:val="ListBullet"/>
      </w:pPr>
      <w:r>
        <w:t>API governance</w:t>
      </w:r>
    </w:p>
    <w:p>
      <w:r>
        <w:t>Exit criteria:</w:t>
      </w:r>
    </w:p>
    <w:p>
      <w:pPr>
        <w:pStyle w:val="ListBullet"/>
      </w:pPr>
      <w:r>
        <w:t>RTO/RPO tested</w:t>
      </w:r>
    </w:p>
    <w:p>
      <w:pPr>
        <w:pStyle w:val="ListBullet"/>
      </w:pPr>
      <w:r>
        <w:t>regional failure game day</w:t>
      </w:r>
    </w:p>
    <w:p>
      <w:pPr>
        <w:pStyle w:val="ListBullet"/>
      </w:pPr>
      <w:r>
        <w:t>tenant movement/migration procedures documented</w:t>
      </w:r>
    </w:p>
    <w:p>
      <w:pPr>
        <w:pStyle w:val="Heading2"/>
      </w:pPr>
      <w:r>
        <w:t>Phase 28 — Marketplace &amp; Extension Platform</w:t>
      </w:r>
    </w:p>
    <w:p>
      <w:r>
        <w:t>Open controlled APIs, apps and models to third parties.</w:t>
      </w:r>
    </w:p>
    <w:p>
      <w:r>
        <w:t>Scope:</w:t>
      </w:r>
    </w:p>
    <w:p>
      <w:pPr>
        <w:pStyle w:val="ListBullet"/>
      </w:pPr>
      <w:r>
        <w:t>developer portal</w:t>
      </w:r>
    </w:p>
    <w:p>
      <w:pPr>
        <w:pStyle w:val="ListBullet"/>
      </w:pPr>
      <w:r>
        <w:t>OAuth app registration</w:t>
      </w:r>
    </w:p>
    <w:p>
      <w:pPr>
        <w:pStyle w:val="ListBullet"/>
      </w:pPr>
      <w:r>
        <w:t>sandbox tenants</w:t>
      </w:r>
    </w:p>
    <w:p>
      <w:pPr>
        <w:pStyle w:val="ListBullet"/>
      </w:pPr>
      <w:r>
        <w:t>model/app manifest</w:t>
      </w:r>
    </w:p>
    <w:p>
      <w:pPr>
        <w:pStyle w:val="ListBullet"/>
      </w:pPr>
      <w:r>
        <w:t>review workflow</w:t>
      </w:r>
    </w:p>
    <w:p>
      <w:pPr>
        <w:pStyle w:val="ListBullet"/>
      </w:pPr>
      <w:r>
        <w:t>billing/revenue share</w:t>
      </w:r>
    </w:p>
    <w:p>
      <w:pPr>
        <w:pStyle w:val="ListBullet"/>
      </w:pPr>
      <w:r>
        <w:t>kill switch</w:t>
      </w:r>
    </w:p>
    <w:p>
      <w:r>
        <w:t>Exit criteria:</w:t>
      </w:r>
    </w:p>
    <w:p>
      <w:pPr>
        <w:pStyle w:val="ListBullet"/>
      </w:pPr>
      <w:r>
        <w:t>Extensions cannot escape granted scopes</w:t>
      </w:r>
    </w:p>
    <w:p>
      <w:pPr>
        <w:pStyle w:val="ListBullet"/>
      </w:pPr>
      <w:r>
        <w:t>security/clinical review mandatory by risk class</w:t>
      </w:r>
    </w:p>
    <w:p>
      <w:pPr>
        <w:pStyle w:val="ListBullet"/>
      </w:pPr>
      <w:r>
        <w:t>version compatibility policy published</w:t>
      </w:r>
    </w:p>
    <w:p>
      <w:pPr>
        <w:pStyle w:val="Heading2"/>
      </w:pPr>
      <w:r>
        <w:t>Phase 29 — Regulated Clinical AI Release Train</w:t>
      </w:r>
    </w:p>
    <w:p>
      <w:r>
        <w:t>Create dedicated SaMD/AI medical-device lifecycle for modules whose intended use crosses regulatory thresholds.</w:t>
      </w:r>
    </w:p>
    <w:p>
      <w:r>
        <w:t>Scope:</w:t>
      </w:r>
    </w:p>
    <w:p>
      <w:pPr>
        <w:pStyle w:val="ListBullet"/>
      </w:pPr>
      <w:r>
        <w:t>intended-use dossier</w:t>
      </w:r>
    </w:p>
    <w:p>
      <w:pPr>
        <w:pStyle w:val="ListBullet"/>
      </w:pPr>
      <w:r>
        <w:t>QMS traceability</w:t>
      </w:r>
    </w:p>
    <w:p>
      <w:pPr>
        <w:pStyle w:val="ListBullet"/>
      </w:pPr>
      <w:r>
        <w:t>risk management file</w:t>
      </w:r>
    </w:p>
    <w:p>
      <w:pPr>
        <w:pStyle w:val="ListBullet"/>
      </w:pPr>
      <w:r>
        <w:t>verification/validation</w:t>
      </w:r>
    </w:p>
    <w:p>
      <w:pPr>
        <w:pStyle w:val="ListBullet"/>
      </w:pPr>
      <w:r>
        <w:t>clinical evaluation</w:t>
      </w:r>
    </w:p>
    <w:p>
      <w:pPr>
        <w:pStyle w:val="ListBullet"/>
      </w:pPr>
      <w:r>
        <w:t>PCCP/change plan where relevant</w:t>
      </w:r>
    </w:p>
    <w:p>
      <w:pPr>
        <w:pStyle w:val="ListBullet"/>
      </w:pPr>
      <w:r>
        <w:t>post-market surveillance</w:t>
      </w:r>
    </w:p>
    <w:p>
      <w:r>
        <w:t>Exit criteria:</w:t>
      </w:r>
    </w:p>
    <w:p>
      <w:pPr>
        <w:pStyle w:val="ListBullet"/>
      </w:pPr>
      <w:r>
        <w:t>Regulatory strategy approved per jurisdiction</w:t>
      </w:r>
    </w:p>
    <w:p>
      <w:pPr>
        <w:pStyle w:val="ListBullet"/>
      </w:pPr>
      <w:r>
        <w:t>release cannot bypass quality gates</w:t>
      </w:r>
    </w:p>
    <w:p>
      <w:pPr>
        <w:pStyle w:val="ListBullet"/>
      </w:pPr>
      <w:r>
        <w:t>real-world performance monitoring active</w:t>
      </w:r>
    </w:p>
    <w:p>
      <w:pPr>
        <w:pStyle w:val="Heading2"/>
      </w:pPr>
      <w:r>
        <w:t>Phase 30 — Advanced Medical AI Modules</w:t>
      </w:r>
    </w:p>
    <w:p>
      <w:r>
        <w:t>Introduce individually validated imaging, ECG, pathology, dermatology, maternal, cardio and oncology intelligence.</w:t>
      </w:r>
    </w:p>
    <w:p>
      <w:r>
        <w:t>Scope:</w:t>
      </w:r>
    </w:p>
    <w:p>
      <w:pPr>
        <w:pStyle w:val="ListBullet"/>
      </w:pPr>
      <w:r>
        <w:t>module-specific dataset</w:t>
      </w:r>
    </w:p>
    <w:p>
      <w:pPr>
        <w:pStyle w:val="ListBullet"/>
      </w:pPr>
      <w:r>
        <w:t>independent validation</w:t>
      </w:r>
    </w:p>
    <w:p>
      <w:pPr>
        <w:pStyle w:val="ListBullet"/>
      </w:pPr>
      <w:r>
        <w:t>clinical workflow study</w:t>
      </w:r>
    </w:p>
    <w:p>
      <w:pPr>
        <w:pStyle w:val="ListBullet"/>
      </w:pPr>
      <w:r>
        <w:t>explainability appropriate to modality</w:t>
      </w:r>
    </w:p>
    <w:p>
      <w:pPr>
        <w:pStyle w:val="ListBullet"/>
      </w:pPr>
      <w:r>
        <w:t>performance monitoring</w:t>
      </w:r>
    </w:p>
    <w:p>
      <w:r>
        <w:t>Exit criteria:</w:t>
      </w:r>
    </w:p>
    <w:p>
      <w:pPr>
        <w:pStyle w:val="ListBullet"/>
      </w:pPr>
      <w:r>
        <w:t>Each module has its own intended use and model card</w:t>
      </w:r>
    </w:p>
    <w:p>
      <w:pPr>
        <w:pStyle w:val="ListBullet"/>
      </w:pPr>
      <w:r>
        <w:t>No platform-wide blanket approval</w:t>
      </w:r>
    </w:p>
    <w:p>
      <w:pPr>
        <w:pStyle w:val="ListBullet"/>
      </w:pPr>
      <w:r>
        <w:t>performance reviewed by subgroup and site</w:t>
      </w:r>
    </w:p>
    <w:p>
      <w:pPr>
        <w:pStyle w:val="Heading1"/>
      </w:pPr>
      <w:r>
        <w:t>13. Standard Phase Execution Protocol for an AI Coding Agent</w:t>
      </w:r>
    </w:p>
    <w:p>
      <w:r>
        <w:t>1. Read the Product Constitution, relevant RFCs/ADRs and the exact phase spec.</w:t>
      </w:r>
    </w:p>
    <w:p>
      <w:r>
        <w:t>2. Inspect the repository; identify existing implementations and do not duplicate them.</w:t>
      </w:r>
    </w:p>
    <w:p>
      <w:r>
        <w:t>3. State the proposed implementation plan and affected boundaries.</w:t>
      </w:r>
    </w:p>
    <w:p>
      <w:r>
        <w:t>4. Update/create RFC, data-flow diagram, risk review and acceptance criteria before code when architecture changes.</w:t>
      </w:r>
    </w:p>
    <w:p>
      <w:r>
        <w:t>5. Implement the smallest complete vertical slice behind a feature flag if rollout risk warrants it.</w:t>
      </w:r>
    </w:p>
    <w:p>
      <w:r>
        <w:t>6. Add migrations using backward-compatible expand/migrate/contract patterns.</w:t>
      </w:r>
    </w:p>
    <w:p>
      <w:r>
        <w:t>7. Add unit, integration, authorization, tenant-isolation and failure tests; add AI/clinical tests when applicable.</w:t>
      </w:r>
    </w:p>
    <w:p>
      <w:r>
        <w:t>8. Instrument traces, metrics, logs and domain safety signals; create/update dashboard and runbook.</w:t>
      </w:r>
    </w:p>
    <w:p>
      <w:r>
        <w:t>9. Run lint/type/build/test/security/conformance suites and fix failures.</w:t>
      </w:r>
    </w:p>
    <w:p>
      <w:r>
        <w:t>10. Verify rollback and degraded-mode behavior.</w:t>
      </w:r>
    </w:p>
    <w:p>
      <w:r>
        <w:t>11. Update architecture/API/clinical/security documentation and ADRs.</w:t>
      </w:r>
    </w:p>
    <w:p>
      <w:r>
        <w:t>12. Return a completion report with exact files, migrations, APIs/events, tests, risk notes, verification commands and remaining work.</w:t>
      </w:r>
    </w:p>
    <w:p>
      <w:r>
        <w:t>13. Stop. Do not begin the next phase without explicit instruction.</w:t>
      </w:r>
    </w:p>
    <w:p>
      <w:pPr>
        <w:pStyle w:val="Heading1"/>
      </w:pPr>
      <w:r>
        <w:t>14. Required Documentation Repository</w:t>
      </w:r>
    </w:p>
    <w:p>
      <w:pPr>
        <w:pStyle w:val="ListBullet"/>
      </w:pPr>
      <w:r>
        <w:t>01-product: vision, principles, personas/JTBD, PRDs, roadmap, pricing/monetization.</w:t>
      </w:r>
    </w:p>
    <w:p>
      <w:pPr>
        <w:pStyle w:val="ListBullet"/>
      </w:pPr>
      <w:r>
        <w:t>02-architecture: system, domains, data, AI, agents, evidence, FHIR, DICOM, cloud, DR.</w:t>
      </w:r>
    </w:p>
    <w:p>
      <w:pPr>
        <w:pStyle w:val="ListBullet"/>
      </w:pPr>
      <w:r>
        <w:t>03-clinical: safety framework, intended-use dossiers, hazards, validation, human oversight.</w:t>
      </w:r>
    </w:p>
    <w:p>
      <w:pPr>
        <w:pStyle w:val="ListBullet"/>
      </w:pPr>
      <w:r>
        <w:t>04-ai-ml: AI gateway, agent runtime, model/dataset/prompt registries, CuraEval, monitoring/change control.</w:t>
      </w:r>
    </w:p>
    <w:p>
      <w:pPr>
        <w:pStyle w:val="ListBullet"/>
      </w:pPr>
      <w:r>
        <w:t>05-engineering: coding, repositories, APIs/events, database, testing, CI/CD, release, SRE, incident response.</w:t>
      </w:r>
    </w:p>
    <w:p>
      <w:pPr>
        <w:pStyle w:val="ListBullet"/>
      </w:pPr>
      <w:r>
        <w:t>06-security-privacy: zero trust, threat models, identity, privacy, consent, retention, audit, de-identification.</w:t>
      </w:r>
    </w:p>
    <w:p>
      <w:pPr>
        <w:pStyle w:val="ListBullet"/>
      </w:pPr>
      <w:r>
        <w:t>07-regulatory: jurisdiction packs, QMS/design controls, post-market surveillance and regulated change control.</w:t>
      </w:r>
    </w:p>
    <w:p>
      <w:pPr>
        <w:pStyle w:val="ListBullet"/>
      </w:pPr>
      <w:r>
        <w:t>08-implementation: one complete executable specification per phase plus acceptance evidence.</w:t>
      </w:r>
    </w:p>
    <w:p>
      <w:pPr>
        <w:pStyle w:val="ListBullet"/>
      </w:pPr>
      <w:r>
        <w:t>templates: RFC, ADR, AI dossier, release checklist and incident/postmortem templates.</w:t>
      </w:r>
    </w:p>
    <w:p>
      <w:pPr>
        <w:pStyle w:val="Heading1"/>
      </w:pPr>
      <w:r>
        <w:t>15. Reference Baseline</w:t>
      </w:r>
    </w:p>
    <w:p>
      <w:r>
        <w:t>FDA AI-enabled medical devices: https://www.fda.gov/medical-devices/digital-health-center-excellence/artificial-intelligence-enabled-medical-devices</w:t>
      </w:r>
    </w:p>
    <w:p>
      <w:r>
        <w:t>FDA draft AI-enabled device lifecycle guidance: https://www.fda.gov/regulatory-information/search-fda-guidance-documents/artificial-intelligence-enabled-device-software-functions-lifecycle-management-and-marketing</w:t>
      </w:r>
    </w:p>
    <w:p>
      <w:r>
        <w:t>FDA / IMDRF GMLP principles: https://www.fda.gov/medical-devices/software-medical-device-samd/good-machine-learning-practice-medical-device-development-guiding-principles</w:t>
      </w:r>
    </w:p>
    <w:p>
      <w:r>
        <w:t>WHO AI for health LMM governance: https://www.who.int/publications/i/item/9789240084759</w:t>
      </w:r>
    </w:p>
    <w:p>
      <w:r>
        <w:t>NIST AI RMF: https://www.nist.gov/itl/ai-risk-management-framework</w:t>
      </w:r>
    </w:p>
    <w:p>
      <w:r>
        <w:t>NIST CSF 2.0: https://www.nist.gov/cyberframework</w:t>
      </w:r>
    </w:p>
    <w:p>
      <w:r>
        <w:t>HL7 FHIR R5: https://www.hl7.org/fhir/R5/</w:t>
      </w:r>
    </w:p>
    <w:p>
      <w:r>
        <w:t>European Health Data Space: https://health.ec.europa.eu/ehealth-digital-health-and-care/european-health-data-space-regulation-ehds_en</w:t>
      </w:r>
    </w:p>
    <w:p>
      <w:r>
        <w:t>Microsoft Well-Architected Framework: https://learn.microsoft.com/en-us/azure/well-architected/what-is-well-architected-framework</w:t>
      </w:r>
    </w:p>
    <w:p>
      <w:r>
        <w:t>Google Engineering Practices: https://google.github.io/eng-practices/</w:t>
      </w:r>
    </w:p>
    <w:p>
      <w:r>
        <w:t>OWASP GenAI Security: https://genai.owasp.org/llm-top-10/</w:t>
      </w:r>
    </w:p>
    <w:p>
      <w:r>
        <w:t>Important: regulatory/standards applicability and edition must be confirmed for each jurisdiction, feature, intended use and certification program. This blueprint is an engineering operating model, not legal or medical advice.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working specification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CuraSphere Engineering Specification Pack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