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m7q6ktm1m7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Dịch vụ số &amp; Chuyển đổi (Digital Product &amp; Delivery Agility)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Khái niệm:</w:t>
      </w:r>
      <w:r w:rsidDel="00000000" w:rsidR="00000000" w:rsidRPr="00000000">
        <w:rPr>
          <w:rtl w:val="0"/>
        </w:rPr>
        <w:t xml:space="preserve"> Tập hợp các chỉ số đánh giá tốc độ, hiệu năng và chất lượng của quy trình phát triển/bàn giao sản phẩm phần mềm (thường dựa trên tiêu chuẩn DORA).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Giúp đội ngũ kỹ thuật đưa tính năng mới ra thị trường nhanh nhất (Time-to-market) nhưng vẫn đảm bảo độ tin cậy, ít lỗi.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Cách thức đo lường: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uao09jsmn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Deployment Frequency (Tần suất triển khai)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Mục đích:</w:t>
        <w:br w:type="textWrapping"/>
        <w:t xml:space="preserve"> Đánh giá mức độ thường xuyên doanh nghiệp triển khai thành công phiên bản mới lên môi trường Production.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tính:</w:t>
        <w:br w:type="textWrapping"/>
        <w:t xml:space="preserve"> Tổng số lần triển khai (Deployment) thành công lên môi trường Production trong kỳ báo cáo.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Đơn vị tính:</w:t>
        <w:br w:type="textWrapping"/>
        <w:t xml:space="preserve"> Lần/tuần hoặc lần/tháng.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Nguồn dữ liệu: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Jenkins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GitLab CI/CD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DevOps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Actions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ArgoCD, Spinnaker (nếu có)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Tần suất đo: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Hàng tuần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Hàng tháng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izeagg6ba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Lead Time for Changes (Thời gian triển khai thay đổi)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Mục đích:</w:t>
        <w:br w:type="textWrapping"/>
        <w:t xml:space="preserve"> Đo lường thời gian cần thiết để một thay đổi trong mã nguồn được đưa vào vận hành ổn định trên môi trường Production.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tính: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Time = Thời điểm Production ổn định − Thời điểm Commit/Merge Code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Đơn vị tính:</w:t>
        <w:br w:type="textWrapping"/>
        <w:t xml:space="preserve"> Giờ hoặc ngày.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Nguồn dữ liệu: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GitLab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DevOps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Tần suất đo: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Hàng tháng</w:t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aas1kmmdn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Change Failure Rate (Tỷ lệ lỗi do thay đổi)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Mục đích:</w:t>
        <w:br w:type="textWrapping"/>
        <w:t xml:space="preserve"> Đánh giá tỷ lệ các lần triển khai gây ra lỗi hoặc sự cố trên môi trường Production.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tính: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Failure Rate (%) = (Số lần triển khai gây lỗi / Tổng số lần triển khai) × 100%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Trong đó, triển khai gây lỗi bao gồm: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Rollback phiên bản.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Phát sinh Incident sau triển khai.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Phải triển khai Hotfix.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Gây gián đoạn hoặc suy giảm chất lượng dịch vụ.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Đơn vị tính:</w:t>
        <w:br w:type="textWrapping"/>
        <w:t xml:space="preserve"> Phần trăm (%).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Nguồn dữ liệu: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Service Management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ServiceNow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Grafana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Prometheus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Monitor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Nhật ký vận hành (Operation Log)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Tần suất đo: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Hàng tháng</w:t>
      </w:r>
    </w:p>
    <w:p w:rsidR="00000000" w:rsidDel="00000000" w:rsidP="00000000" w:rsidRDefault="00000000" w:rsidRPr="00000000" w14:paraId="00000034">
      <w:pPr>
        <w:spacing w:after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7whl3cpgf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Mean Time to Recovery (MTTR)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Mục đích:</w:t>
        <w:br w:type="textWrapping"/>
        <w:t xml:space="preserve"> Đánh giá khả năng khôi phục dịch vụ sau khi xảy ra sự cố.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Cách tính: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MTTR = Tổng thời gian khắc phục các sự cố / Tổng số sự cố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Đơn vị tính:</w:t>
        <w:br w:type="textWrapping"/>
        <w:t xml:space="preserve"> Phút hoặc giờ.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Nguồn dữ liệu: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ServiceNow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Service Management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Prometheus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Grafana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Zabbix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Hệ thống giám sát vận hành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Tần suất đo: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Hàng tháng</w:t>
      </w:r>
    </w:p>
    <w:p w:rsidR="00000000" w:rsidDel="00000000" w:rsidP="00000000" w:rsidRDefault="00000000" w:rsidRPr="00000000" w14:paraId="00000043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https://docs.gitlab.com/user/analytics/dora_metrics</w:t>
      </w:r>
    </w:p>
    <w:p w:rsidR="00000000" w:rsidDel="00000000" w:rsidP="00000000" w:rsidRDefault="00000000" w:rsidRPr="00000000" w14:paraId="00000044">
      <w:pPr>
        <w:spacing w:after="240" w:lineRule="auto"/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KPI &amp; Strategy Software for Smarter Performance | Intrafocus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KPI dashboard - Seeing the big picture | Intrafocus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trafocus.com/" TargetMode="External"/><Relationship Id="rId7" Type="http://schemas.openxmlformats.org/officeDocument/2006/relationships/hyperlink" Target="https://www.intrafocus.com/blog/kpi-dashboard-seeing-the-big-pict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