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LỚP NĂNG LỰC (4): APP &amp; INTEGRATION PLATFORM</w:t>
      </w:r>
    </w:p>
    <w:p>
      <w:pPr>
        <w:spacing w:after="60"/>
        <w:jc w:val="center"/>
      </w:pPr>
      <w:r>
        <w:rPr>
          <w:rFonts w:ascii="Calibri" w:cs="Calibri" w:eastAsia="Calibri" w:hAnsi="Calibri"/>
          <w:i/>
          <w:iCs/>
          <w:color w:val="C55A11"/>
          <w:sz w:val="24"/>
          <w:szCs w:val="24"/>
        </w:rPr>
        <w:t xml:space="preserve">(Nền tảng ứng dụng &amp; tích hợp)</w:t>
      </w:r>
    </w:p>
    <w:p>
      <w:pPr>
        <w:pBdr>
          <w:bottom w:val="single" w:color="BFBFBF" w:sz="8" w:space="8"/>
        </w:pBdr>
        <w:spacing w:after="300"/>
        <w:jc w:val="center"/>
      </w:pPr>
      <w:r>
        <w:rPr>
          <w:rFonts w:ascii="Calibri" w:cs="Calibri" w:eastAsia="Calibri" w:hAnsi="Calibri"/>
          <w:i/>
          <w:iCs/>
          <w:color w:val="595959"/>
          <w:sz w:val="20"/>
          <w:szCs w:val="20"/>
        </w:rPr>
        <w:t xml:space="preserve">Thuyết trình trong khung tham chiếu phổ biến 5 lớp năng lực hạ tầng CNTT</w:t>
      </w:r>
    </w:p>
    <w:p>
      <w:pPr>
        <w:pStyle w:val="Heading1"/>
        <w:spacing w:after="150" w:before="300"/>
      </w:pPr>
      <w:r>
        <w:rPr>
          <w:rFonts w:ascii="Calibri" w:cs="Calibri" w:eastAsia="Calibri" w:hAnsi="Calibri"/>
          <w:b/>
          <w:bCs/>
          <w:color w:val="1F4E79"/>
          <w:sz w:val="30"/>
          <w:szCs w:val="30"/>
        </w:rPr>
        <w:t xml:space="preserve">1. Khái niệm</w:t>
      </w:r>
    </w:p>
    <w:p>
      <w:pPr>
        <w:spacing w:after="140" w:line="300"/>
      </w:pPr>
      <w:r>
        <w:rPr>
          <w:rFonts w:ascii="Calibri" w:cs="Calibri" w:eastAsia="Calibri" w:hAnsi="Calibri"/>
          <w:sz w:val="22"/>
          <w:szCs w:val="22"/>
        </w:rPr>
        <w:t xml:space="preserve">App &amp; Integration Platform là lớp năng lực chịu trách nhiệm xây dựng, triển khai, vận hành và kết nối các ứng dụng/dịch vụ phần mềm trong doanh nghiệp — từ ứng dụng nội bộ (backend, portal) đến các dịch vụ mở ra bên ngoài qua API.</w:t>
      </w:r>
    </w:p>
    <w:p>
      <w:pPr>
        <w:spacing w:after="140" w:line="300"/>
      </w:pPr>
      <w:r>
        <w:rPr>
          <w:rFonts w:ascii="Calibri" w:cs="Calibri" w:eastAsia="Calibri" w:hAnsi="Calibri"/>
          <w:sz w:val="22"/>
          <w:szCs w:val="22"/>
        </w:rPr>
        <w:t xml:space="preserve">Đây là lớp "trung gian" nằm giữa:</w:t>
      </w:r>
    </w:p>
    <w:p>
      <w:pPr>
        <w:pStyle w:val="ListParagraph"/>
        <w:numPr>
          <w:ilvl w:val="0"/>
          <w:numId w:val="2"/>
        </w:numPr>
        <w:spacing w:after="90" w:line="280"/>
      </w:pPr>
      <w:r>
        <w:rPr>
          <w:rFonts w:ascii="Calibri" w:cs="Calibri" w:eastAsia="Calibri" w:hAnsi="Calibri"/>
          <w:sz w:val="22"/>
          <w:szCs w:val="22"/>
        </w:rPr>
        <w:t xml:space="preserve">Bên dưới: lớp (1) Compute &amp; Connectivity (hạ tầng máy chủ/mạng nền) và lớp (3) Security + Identity (định danh, chính sách bảo mật xuyên suốt);</w:t>
      </w:r>
    </w:p>
    <w:p>
      <w:pPr>
        <w:pStyle w:val="ListParagraph"/>
        <w:numPr>
          <w:ilvl w:val="0"/>
          <w:numId w:val="2"/>
        </w:numPr>
        <w:spacing w:after="90" w:line="280"/>
      </w:pPr>
      <w:r>
        <w:rPr>
          <w:rFonts w:ascii="Calibri" w:cs="Calibri" w:eastAsia="Calibri" w:hAnsi="Calibri"/>
          <w:sz w:val="22"/>
          <w:szCs w:val="22"/>
        </w:rPr>
        <w:t xml:space="preserve">Bên trên: lớp (5) Data Platform (nơi dữ liệu được lưu trữ, xử lý).</w:t>
      </w:r>
    </w:p>
    <w:p>
      <w:pPr>
        <w:spacing w:after="140" w:line="300"/>
      </w:pPr>
      <w:r>
        <w:rPr>
          <w:rFonts w:ascii="Calibri" w:cs="Calibri" w:eastAsia="Calibri" w:hAnsi="Calibri"/>
          <w:sz w:val="22"/>
          <w:szCs w:val="22"/>
        </w:rPr>
        <w:t xml:space="preserve">Nói cách khác, đây là lớp giúp các thành phần phần mềm rời rạc (microservices, hệ thống cũ, dịch vụ bên thứ ba) "nói chuyện" được với nhau một cách có kiểm soát, có khả năng mở rộng và có thể vận hành ổn định ở quy mô lớn.</w:t>
      </w:r>
    </w:p>
    <w:p>
      <w:pPr>
        <w:spacing w:after="140" w:line="300"/>
      </w:pPr>
      <w:r>
        <w:rPr>
          <w:rFonts w:ascii="Calibri" w:cs="Calibri" w:eastAsia="Calibri" w:hAnsi="Calibri"/>
          <w:sz w:val="22"/>
          <w:szCs w:val="22"/>
        </w:rPr>
        <w:t xml:space="preserve">Về mặt kỹ thuật, lớp này gắn liền với khái niệm container orchestration: theo tài liệu chính thức của dự án Kubernetes (CNCF), đây là nền tảng mã nguồn mở giúp tự động hoá việc triển khai, mở rộng quy mô và quản lý các ứng dụng đóng gói dưới dạng container — chính là "bộ khung vận hành" cho các microservices trong lớp App &amp; Integration Platform.</w:t>
      </w:r>
    </w:p>
    <w:p>
      <w:pPr>
        <w:pStyle w:val="Heading1"/>
        <w:spacing w:after="150" w:before="300"/>
      </w:pPr>
      <w:r>
        <w:rPr>
          <w:rFonts w:ascii="Calibri" w:cs="Calibri" w:eastAsia="Calibri" w:hAnsi="Calibri"/>
          <w:b/>
          <w:bCs/>
          <w:color w:val="1F4E79"/>
          <w:sz w:val="30"/>
          <w:szCs w:val="30"/>
        </w:rPr>
        <w:t xml:space="preserve">2. Vai trò trong khung tham chiếu tổng thể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Vai trò</w:t>
            </w:r>
          </w:p>
        </w:tc>
        <w:tc>
          <w:tcPr>
            <w:tcW w:type="dxa" w:w="6800"/>
            <w:shd w:fill="1F4E79"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Diễn giải</w:t>
            </w:r>
          </w:p>
        </w:tc>
      </w:tr>
      <w:tr>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Cầu nối tích hợp</w:t>
            </w:r>
          </w:p>
        </w:tc>
        <w:tc>
          <w:tcPr>
            <w:tcW w:type="dxa" w:w="6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Kết nối các hệ thống nội bộ (ERP, CRM, hệ thống legacy) với nhau và với đối tác/bên thứ ba thông qua API, message queue, event bus — thay vì kết nối điểm-điểm (point-to-point) gây rối và khó bảo trì.</w:t>
            </w:r>
          </w:p>
        </w:tc>
      </w:tr>
      <w:tr>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Nền tảng phát triển &amp; vận hành ứng dụng</w:t>
            </w:r>
          </w:p>
        </w:tc>
        <w:tc>
          <w:tcPr>
            <w:tcW w:type="dxa" w:w="6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Cung cấp môi trường chuẩn hoá (container, K8s) để đội phát triển triển khai ứng dụng nhanh, nhất quán, có thể mở rộng theo tải.</w:t>
            </w:r>
          </w:p>
        </w:tc>
      </w:tr>
      <w:tr>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Kiểm soát luồng giao tiếp</w:t>
            </w:r>
          </w:p>
        </w:tc>
        <w:tc>
          <w:tcPr>
            <w:tcW w:type="dxa" w:w="6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API Gateway đóng vai trò "cửa ngõ" duy nhất kiểm soát ai được gọi API nào, giới hạn tốc độ (rate limiting/throttling), định tuyến yêu cầu tới đúng dịch vụ backend.</w:t>
            </w:r>
          </w:p>
        </w:tc>
      </w:tr>
      <w:tr>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Nền tảng cho DevOps/SRE</w:t>
            </w:r>
          </w:p>
        </w:tc>
        <w:tc>
          <w:tcPr>
            <w:tcW w:type="dxa" w:w="6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Là nơi áp dụng CI/CD, versioning, observability — biến việc phát hành phần mềm từ thủ công thành quy trình tự động, lặp lại được.</w:t>
            </w:r>
          </w:p>
        </w:tc>
      </w:tr>
      <w:tr>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Điểm thực thi chính sách bảo mật ứng dụng</w:t>
            </w:r>
          </w:p>
        </w:tc>
        <w:tc>
          <w:tcPr>
            <w:tcW w:type="dxa" w:w="6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Xác thực/phân quyền (AuthN/Z), bảo vệ API, quét lỗ hổng image container — là nơi các nguyên tắc Zero Trust được áp dụng cụ thể ở tầng ứng dụng.</w:t>
            </w:r>
          </w:p>
        </w:tc>
      </w:tr>
    </w:tbl>
    <w:p>
      <w:pPr>
        <w:spacing w:after="140" w:line="300"/>
      </w:pPr>
      <w:r>
        <w:rPr>
          <w:rFonts w:ascii="Calibri" w:cs="Calibri" w:eastAsia="Calibri" w:hAnsi="Calibri"/>
          <w:sz w:val="22"/>
          <w:szCs w:val="22"/>
        </w:rPr>
        <w:t xml:space="preserve"/>
      </w:r>
    </w:p>
    <w:p>
      <w:pPr>
        <w:spacing w:after="140" w:line="300"/>
      </w:pPr>
      <w:r>
        <w:rPr>
          <w:rFonts w:ascii="Calibri" w:cs="Calibri" w:eastAsia="Calibri" w:hAnsi="Calibri"/>
          <w:b/>
          <w:bCs/>
          <w:sz w:val="22"/>
          <w:szCs w:val="22"/>
        </w:rPr>
        <w:t xml:space="preserve">Vị trí trong chuỗi giá trị: </w:t>
      </w:r>
      <w:r>
        <w:rPr>
          <w:rFonts w:ascii="Calibri" w:cs="Calibri" w:eastAsia="Calibri" w:hAnsi="Calibri"/>
          <w:sz w:val="22"/>
          <w:szCs w:val="22"/>
        </w:rPr>
        <w:t xml:space="preserve">nếu lớp (1)-(2) là "nền móng vận hành" và lớp (3) là "lớp bao trùm an ninh", thì lớp (4) chính là nơi giá trị nghiệp vụ được hiện thực hoá thành phần mềm chạy được, trước khi dữ liệu được đẩy xuống lớp (5) để lưu trữ và phân tích.</w:t>
      </w:r>
    </w:p>
    <w:p>
      <w:pPr>
        <w:pStyle w:val="Heading1"/>
        <w:spacing w:after="150" w:before="300"/>
      </w:pPr>
      <w:r>
        <w:rPr>
          <w:rFonts w:ascii="Calibri" w:cs="Calibri" w:eastAsia="Calibri" w:hAnsi="Calibri"/>
          <w:b/>
          <w:bCs/>
          <w:color w:val="1F4E79"/>
          <w:sz w:val="30"/>
          <w:szCs w:val="30"/>
        </w:rPr>
        <w:t xml:space="preserve">3. Đặc điểm kỹ thuật theo 5 khía cạnh</w:t>
      </w:r>
    </w:p>
    <w:p>
      <w:pPr>
        <w:pStyle w:val="Heading2"/>
        <w:spacing w:after="120" w:before="260"/>
      </w:pPr>
      <w:r>
        <w:rPr>
          <w:rFonts w:ascii="Calibri" w:cs="Calibri" w:eastAsia="Calibri" w:hAnsi="Calibri"/>
          <w:b/>
          <w:bCs/>
          <w:color w:val="C55A11"/>
          <w:sz w:val="25"/>
          <w:szCs w:val="25"/>
        </w:rPr>
        <w:t xml:space="preserve">3.1. Phần cứng (HW)</w:t>
      </w:r>
    </w:p>
    <w:p>
      <w:pPr>
        <w:pStyle w:val="ListParagraph"/>
        <w:numPr>
          <w:ilvl w:val="0"/>
          <w:numId w:val="2"/>
        </w:numPr>
        <w:spacing w:after="90" w:line="280"/>
      </w:pPr>
      <w:r>
        <w:rPr>
          <w:rFonts w:ascii="Calibri" w:cs="Calibri" w:eastAsia="Calibri" w:hAnsi="Calibri"/>
          <w:sz w:val="22"/>
          <w:szCs w:val="22"/>
        </w:rPr>
        <w:t xml:space="preserve">Về bản chất, lớp App &amp; Integration Platform không có hạ tầng vật lý riêng mà "tận dụng" (kế thừa) lớp Compute nền (server/PC, cloud compute) từ lớp (1).</w:t>
      </w:r>
    </w:p>
    <w:p>
      <w:pPr>
        <w:pStyle w:val="ListParagraph"/>
        <w:numPr>
          <w:ilvl w:val="0"/>
          <w:numId w:val="2"/>
        </w:numPr>
        <w:spacing w:after="90" w:line="280"/>
      </w:pPr>
      <w:r>
        <w:rPr>
          <w:rFonts w:ascii="Calibri" w:cs="Calibri" w:eastAsia="Calibri" w:hAnsi="Calibri"/>
          <w:sz w:val="22"/>
          <w:szCs w:val="22"/>
        </w:rPr>
        <w:t xml:space="preserve">Yêu cầu đặc thù: cấu hình compute cần hỗ trợ tốt container runtime (CPU, RAM linh hoạt theo tải), có thể co giãn theo chiều ngang (horizontal scaling) — khác với ứng dụng nguyên khối (monolithic) chạy cố định trên một máy chủ.</w:t>
      </w:r>
    </w:p>
    <w:p>
      <w:pPr>
        <w:pStyle w:val="Heading2"/>
        <w:spacing w:after="120" w:before="260"/>
      </w:pPr>
      <w:r>
        <w:rPr>
          <w:rFonts w:ascii="Calibri" w:cs="Calibri" w:eastAsia="Calibri" w:hAnsi="Calibri"/>
          <w:b/>
          <w:bCs/>
          <w:color w:val="C55A11"/>
          <w:sz w:val="25"/>
          <w:szCs w:val="25"/>
        </w:rPr>
        <w:t xml:space="preserve">3.2. Phần mềm (SW) — trọng tâm của lớp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00"/>
      </w:tblGrid>
      <w:tr>
        <w:trPr>
          <w:tblHeader/>
        </w:trPr>
        <w:tc>
          <w:tcPr>
            <w:tcW w:type="dxa" w:w="1800"/>
            <w:shd w:fill="1F4E79"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Thành phần</w:t>
            </w:r>
          </w:p>
        </w:tc>
        <w:tc>
          <w:tcPr>
            <w:tcW w:type="dxa" w:w="3400"/>
            <w:shd w:fill="1F4E79"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Khái niệm</w:t>
            </w:r>
          </w:p>
        </w:tc>
        <w:tc>
          <w:tcPr>
            <w:tcW w:type="dxa" w:w="4200"/>
            <w:shd w:fill="1F4E79"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Vai trò kỹ thuật</w:t>
            </w:r>
          </w:p>
        </w:tc>
      </w:tr>
      <w:tr>
        <w:tc>
          <w:tcPr>
            <w:tcW w:type="dxa" w:w="1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Middleware / ESB
(Enterprise Service Bus)</w:t>
            </w:r>
          </w:p>
        </w:tc>
        <w:tc>
          <w:tcPr>
            <w:tcW w:type="dxa" w:w="3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Tầng phần mềm trung gian giúp các ứng dụng khác nhau giao tiếp mà không cần biết chi tiết kỹ thuật của nhau</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Chuyển đổi định dạng dữ liệu, định tuyến thông điệp giữa hệ thống cũ và mới</w:t>
            </w:r>
          </w:p>
        </w:tc>
      </w:tr>
      <w:tr>
        <w:tc>
          <w:tcPr>
            <w:tcW w:type="dxa" w:w="1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API Gateway</w:t>
            </w:r>
          </w:p>
        </w:tc>
        <w:tc>
          <w:tcPr>
            <w:tcW w:type="dxa" w:w="3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Điểm vào duy nhất quản lý, giám sát và bảo mật các lời gọi API</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Theo tài liệu AWS, API Gateway là dịch vụ được quản lý giúp nhà phát triển xuất bản, giám sát, bảo mật và vận hành API ở quy mô lớn; hỗ trợ định tuyến, xác thực (Cognito/IAM/Lambda authorizer), quản lý nhiều phiên bản/giai đoạn triển khai (dev/staging/prod), và giới hạn tốc độ để bảo vệ backend khỏi quá tải</w:t>
            </w:r>
          </w:p>
        </w:tc>
      </w:tr>
      <w:tr>
        <w:tc>
          <w:tcPr>
            <w:tcW w:type="dxa" w:w="1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Microservices</w:t>
            </w:r>
          </w:p>
        </w:tc>
        <w:tc>
          <w:tcPr>
            <w:tcW w:type="dxa" w:w="3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Kiến trúc chia ứng dụng lớn thành nhiều dịch vụ nhỏ, độc lập, giao tiếp qua API</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Cho phép phát triển, triển khai, mở rộng từng dịch vụ độc lập thay vì cả hệ thống nguyên khối</w:t>
            </w:r>
          </w:p>
        </w:tc>
      </w:tr>
      <w:tr>
        <w:tc>
          <w:tcPr>
            <w:tcW w:type="dxa" w:w="1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Container / Kubernetes (K8s)</w:t>
            </w:r>
          </w:p>
        </w:tc>
        <w:tc>
          <w:tcPr>
            <w:tcW w:type="dxa" w:w="3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Container đóng gói ứng dụng + dependency thành đơn vị chạy độc lập; K8s là nền tảng điều phối container</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Theo Kubernetes.io, K8s tự động hoá việc triển khai, mở rộng và quản lý ứng dụng container hoá; tổ chức container thành các đơn vị logic (pod) để dễ quản lý và khám phá dịch vụ</w:t>
            </w:r>
          </w:p>
        </w:tc>
      </w:tr>
      <w:tr>
        <w:tc>
          <w:tcPr>
            <w:tcW w:type="dxa" w:w="1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Service mesh
(tuỳ chọn)</w:t>
            </w:r>
          </w:p>
        </w:tc>
        <w:tc>
          <w:tcPr>
            <w:tcW w:type="dxa" w:w="3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Lớp hạ tầng riêng quản lý giao tiếp giữa các microservices (thường qua sidecar proxy)</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Cung cấp định tuyến thông minh, cân bằng tải, mã hoá giao tiếp nội bộ (mTLS), quan sát traffic giữa các service mà không cần sửa code ứng dụng</w:t>
            </w:r>
          </w:p>
        </w:tc>
      </w:tr>
      <w:tr>
        <w:tc>
          <w:tcPr>
            <w:tcW w:type="dxa" w:w="18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Message queue / Event bus</w:t>
            </w:r>
          </w:p>
        </w:tc>
        <w:tc>
          <w:tcPr>
            <w:tcW w:type="dxa" w:w="3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Cơ chế giao tiếp bất đồng bộ giữa các dịch vụ (Kafka, RabbitMQ...)</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Giảm phụ thuộc trực tiếp giữa các service, tăng khả năng chịu lỗi và mở rộng</w:t>
            </w:r>
          </w:p>
        </w:tc>
      </w:tr>
    </w:tbl>
    <w:p>
      <w:pPr>
        <w:spacing w:after="140" w:line="30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C55A11"/>
          <w:sz w:val="25"/>
          <w:szCs w:val="25"/>
        </w:rPr>
        <w:t xml:space="preserve">3.3. Mạng (Network)</w:t>
      </w:r>
    </w:p>
    <w:p>
      <w:pPr>
        <w:pStyle w:val="ListParagraph"/>
        <w:numPr>
          <w:ilvl w:val="0"/>
          <w:numId w:val="2"/>
        </w:numPr>
        <w:spacing w:after="90" w:line="280"/>
      </w:pPr>
      <w:r>
        <w:rPr>
          <w:rFonts w:ascii="Calibri" w:cs="Calibri" w:eastAsia="Calibri" w:hAnsi="Calibri"/>
          <w:sz w:val="22"/>
          <w:szCs w:val="22"/>
        </w:rPr>
        <w:t xml:space="preserve">Ingress/Egress control: kiểm soát luồng traffic đi vào/đi ra hệ thống ứng dụng.</w:t>
      </w:r>
    </w:p>
    <w:p>
      <w:pPr>
        <w:pStyle w:val="ListParagraph"/>
        <w:numPr>
          <w:ilvl w:val="0"/>
          <w:numId w:val="2"/>
        </w:numPr>
        <w:spacing w:after="90" w:line="280"/>
      </w:pPr>
      <w:r>
        <w:rPr>
          <w:rFonts w:ascii="Calibri" w:cs="Calibri" w:eastAsia="Calibri" w:hAnsi="Calibri"/>
          <w:sz w:val="22"/>
          <w:szCs w:val="22"/>
        </w:rPr>
        <w:t xml:space="preserve">Routing nội bộ &amp; service discovery: các microservices cần cơ chế "tự tìm nhau" khi địa chỉ IP thay đổi liên tục (đặc biệt trong K8s, pod có thể được tạo/huỷ và đổi IP bất kỳ lúc nào).</w:t>
      </w:r>
    </w:p>
    <w:p>
      <w:pPr>
        <w:pStyle w:val="ListParagraph"/>
        <w:numPr>
          <w:ilvl w:val="0"/>
          <w:numId w:val="2"/>
        </w:numPr>
        <w:spacing w:after="90" w:line="280"/>
      </w:pPr>
      <w:r>
        <w:rPr>
          <w:rFonts w:ascii="Calibri" w:cs="Calibri" w:eastAsia="Calibri" w:hAnsi="Calibri"/>
          <w:sz w:val="22"/>
          <w:szCs w:val="22"/>
        </w:rPr>
        <w:t xml:space="preserve">Load balancing (LB): phân phối tải giữa nhiều instance của cùng một service.</w:t>
      </w:r>
    </w:p>
    <w:p>
      <w:pPr>
        <w:pStyle w:val="ListParagraph"/>
        <w:numPr>
          <w:ilvl w:val="0"/>
          <w:numId w:val="2"/>
        </w:numPr>
        <w:spacing w:after="90" w:line="280"/>
      </w:pPr>
      <w:r>
        <w:rPr>
          <w:rFonts w:ascii="Calibri" w:cs="Calibri" w:eastAsia="Calibri" w:hAnsi="Calibri"/>
          <w:sz w:val="22"/>
          <w:szCs w:val="22"/>
        </w:rPr>
        <w:t xml:space="preserve">API traffic control: giới hạn tốc độ, cắt giảm traffic bất thường, bảo vệ backend khỏi tấn công từ chối dịch vụ.</w:t>
      </w:r>
    </w:p>
    <w:p>
      <w:pPr>
        <w:pStyle w:val="Heading2"/>
        <w:spacing w:after="120" w:before="260"/>
      </w:pPr>
      <w:r>
        <w:rPr>
          <w:rFonts w:ascii="Calibri" w:cs="Calibri" w:eastAsia="Calibri" w:hAnsi="Calibri"/>
          <w:b/>
          <w:bCs/>
          <w:color w:val="C55A11"/>
          <w:sz w:val="25"/>
          <w:szCs w:val="25"/>
        </w:rPr>
        <w:t xml:space="preserve">3.4. Quản trị (Governance/Ops)</w:t>
      </w:r>
    </w:p>
    <w:p>
      <w:pPr>
        <w:pStyle w:val="ListParagraph"/>
        <w:numPr>
          <w:ilvl w:val="0"/>
          <w:numId w:val="2"/>
        </w:numPr>
        <w:spacing w:after="90" w:line="280"/>
      </w:pPr>
      <w:r>
        <w:rPr>
          <w:rFonts w:ascii="Calibri" w:cs="Calibri" w:eastAsia="Calibri" w:hAnsi="Calibri"/>
          <w:sz w:val="22"/>
          <w:szCs w:val="22"/>
        </w:rPr>
        <w:t xml:space="preserve">CI/CD (Continuous Integration/Continuous Deployment): tự động hoá build – test – triển khai, giảm rủi ro lỗi do thao tác thủ công.</w:t>
      </w:r>
    </w:p>
    <w:p>
      <w:pPr>
        <w:pStyle w:val="ListParagraph"/>
        <w:numPr>
          <w:ilvl w:val="0"/>
          <w:numId w:val="2"/>
        </w:numPr>
        <w:spacing w:after="90" w:line="280"/>
      </w:pPr>
      <w:r>
        <w:rPr>
          <w:rFonts w:ascii="Calibri" w:cs="Calibri" w:eastAsia="Calibri" w:hAnsi="Calibri"/>
          <w:sz w:val="22"/>
          <w:szCs w:val="22"/>
        </w:rPr>
        <w:t xml:space="preserve">Release/Change management &amp; Versioning API: quản lý phiên bản API (v1, v2...) để không phá vỡ ứng dụng đang dùng phiên bản cũ khi nâng cấp.</w:t>
      </w:r>
    </w:p>
    <w:p>
      <w:pPr>
        <w:pStyle w:val="ListParagraph"/>
        <w:numPr>
          <w:ilvl w:val="0"/>
          <w:numId w:val="2"/>
        </w:numPr>
        <w:spacing w:after="90" w:line="280"/>
      </w:pPr>
      <w:r>
        <w:rPr>
          <w:rFonts w:ascii="Calibri" w:cs="Calibri" w:eastAsia="Calibri" w:hAnsi="Calibri"/>
          <w:sz w:val="22"/>
          <w:szCs w:val="22"/>
        </w:rPr>
        <w:t xml:space="preserve">SRE practice (Site Reliability Engineering): áp dụng chỉ số đo lường độ tin cậy (SLO/SLA) cho từng dịch vụ.</w:t>
      </w:r>
    </w:p>
    <w:p>
      <w:pPr>
        <w:pStyle w:val="ListParagraph"/>
        <w:numPr>
          <w:ilvl w:val="0"/>
          <w:numId w:val="2"/>
        </w:numPr>
        <w:spacing w:after="90" w:line="280"/>
      </w:pPr>
      <w:r>
        <w:rPr>
          <w:rFonts w:ascii="Calibri" w:cs="Calibri" w:eastAsia="Calibri" w:hAnsi="Calibri"/>
          <w:sz w:val="22"/>
          <w:szCs w:val="22"/>
        </w:rPr>
        <w:t xml:space="preserve">App observability: giám sát log, metric, trace ở mức ứng dụng để phát hiện sớm sự cố.</w:t>
      </w:r>
    </w:p>
    <w:p>
      <w:pPr>
        <w:pStyle w:val="Heading2"/>
        <w:spacing w:after="120" w:before="260"/>
      </w:pPr>
      <w:r>
        <w:rPr>
          <w:rFonts w:ascii="Calibri" w:cs="Calibri" w:eastAsia="Calibri" w:hAnsi="Calibri"/>
          <w:b/>
          <w:bCs/>
          <w:color w:val="C55A11"/>
          <w:sz w:val="25"/>
          <w:szCs w:val="25"/>
        </w:rPr>
        <w:t xml:space="preserve">3.5. Bảo mật (Security)</w:t>
      </w:r>
    </w:p>
    <w:p>
      <w:pPr>
        <w:pStyle w:val="ListParagraph"/>
        <w:numPr>
          <w:ilvl w:val="0"/>
          <w:numId w:val="2"/>
        </w:numPr>
        <w:spacing w:after="90" w:line="280"/>
      </w:pPr>
      <w:r>
        <w:rPr>
          <w:rFonts w:ascii="Calibri" w:cs="Calibri" w:eastAsia="Calibri" w:hAnsi="Calibri"/>
          <w:sz w:val="22"/>
          <w:szCs w:val="22"/>
        </w:rPr>
        <w:t xml:space="preserve">AuthN/Z (OIDC/SAML): xác thực và phân quyền truy cập ở mức API/dịch vụ.</w:t>
      </w:r>
    </w:p>
    <w:p>
      <w:pPr>
        <w:pStyle w:val="ListParagraph"/>
        <w:numPr>
          <w:ilvl w:val="0"/>
          <w:numId w:val="2"/>
        </w:numPr>
        <w:spacing w:after="90" w:line="280"/>
      </w:pPr>
      <w:r>
        <w:rPr>
          <w:rFonts w:ascii="Calibri" w:cs="Calibri" w:eastAsia="Calibri" w:hAnsi="Calibri"/>
          <w:sz w:val="22"/>
          <w:szCs w:val="22"/>
        </w:rPr>
        <w:t xml:space="preserve">Secrets management: quản lý an toàn các thông tin nhạy cảm (mật khẩu, token, khoá API) mà ứng dụng cần dùng.</w:t>
      </w:r>
    </w:p>
    <w:p>
      <w:pPr>
        <w:pStyle w:val="ListParagraph"/>
        <w:numPr>
          <w:ilvl w:val="0"/>
          <w:numId w:val="2"/>
        </w:numPr>
        <w:spacing w:after="90" w:line="280"/>
      </w:pPr>
      <w:r>
        <w:rPr>
          <w:rFonts w:ascii="Calibri" w:cs="Calibri" w:eastAsia="Calibri" w:hAnsi="Calibri"/>
          <w:sz w:val="22"/>
          <w:szCs w:val="22"/>
        </w:rPr>
        <w:t xml:space="preserve">Runtime security: giám sát và bảo vệ ứng dụng khi đang chạy (phát hiện hành vi bất thường trong container).</w:t>
      </w:r>
    </w:p>
    <w:p>
      <w:pPr>
        <w:pStyle w:val="ListParagraph"/>
        <w:numPr>
          <w:ilvl w:val="0"/>
          <w:numId w:val="2"/>
        </w:numPr>
        <w:spacing w:after="90" w:line="280"/>
      </w:pPr>
      <w:r>
        <w:rPr>
          <w:rFonts w:ascii="Calibri" w:cs="Calibri" w:eastAsia="Calibri" w:hAnsi="Calibri"/>
          <w:sz w:val="22"/>
          <w:szCs w:val="22"/>
        </w:rPr>
        <w:t xml:space="preserve">API security/WAF: bảo vệ API khỏi các cuộc tấn công (SQL injection, broken access control...).</w:t>
      </w:r>
    </w:p>
    <w:p>
      <w:pPr>
        <w:pStyle w:val="ListParagraph"/>
        <w:numPr>
          <w:ilvl w:val="0"/>
          <w:numId w:val="2"/>
        </w:numPr>
        <w:spacing w:after="90" w:line="280"/>
      </w:pPr>
      <w:r>
        <w:rPr>
          <w:rFonts w:ascii="Calibri" w:cs="Calibri" w:eastAsia="Calibri" w:hAnsi="Calibri"/>
          <w:sz w:val="22"/>
          <w:szCs w:val="22"/>
        </w:rPr>
        <w:t xml:space="preserve">Image scanning: quét lỗ hổng bảo mật trong container image trước khi triển khai.</w:t>
      </w:r>
    </w:p>
    <w:p>
      <w:pPr>
        <w:pBdr>
          <w:left w:val="single" w:color="C55A11" w:sz="18" w:space="8"/>
        </w:pBdr>
        <w:spacing w:after="200" w:before="120" w:line="280"/>
        <w:ind w:left="200"/>
      </w:pPr>
      <w:r>
        <w:rPr>
          <w:rFonts w:ascii="Calibri" w:cs="Calibri" w:eastAsia="Calibri" w:hAnsi="Calibri"/>
          <w:i/>
          <w:iCs/>
          <w:color w:val="595959"/>
          <w:sz w:val="21"/>
          <w:szCs w:val="21"/>
        </w:rPr>
        <w:t xml:space="preserve">Liên hệ với nguyên tắc Zero Trust (NIST SP 800-207, SP 800-204, SP 800-228): NIST định nghĩa Zero Trust Architecture là tập hợp các nguyên tắc an ninh mạng không mặc định tin tưởng bất kỳ thực thể nào dựa trên vị trí mạng — xác thực và phân quyền phải được thực hiện linh hoạt, nghiêm ngặt trước mỗi lần truy cập. Do các microservices giao tiếp lỏng lẻo (loosely coupled) và không còn khái niệm "biên giới mạng" rõ ràng, NIST SP 800-204 yêu cầu mỗi microservice phải được xác thực trước khi được tin tưởng, đồng thời chính sách bảo mật phải vừa được định nghĩa tập trung vừa được thực thi nhất quán ở mọi nơi. NIST SP 800-228 (2025) mở rộng nguyên tắc này riêng cho API, yêu cầu áp dụng kiểm soát ở toàn bộ vòng đời API (thiết kế – phát triển – triển khai – vận hành – gỡ bỏ), và nhấn mạnh rằng mọi lời gọi API — kể cả API "nội bộ" giữa các microservice trong cùng cụm Kubernetes — đều phải được coi là không đáng tin cậy cho đến khi được xác thực/phân quyền. Đây chính là cơ sở lý luận cho các đặc điểm bảo mật (AuthN/Z, API security, runtime security) của lớp App &amp; Integration Platform.</w:t>
      </w:r>
    </w:p>
    <w:p>
      <w:pPr>
        <w:pStyle w:val="Heading1"/>
        <w:spacing w:after="150" w:before="300"/>
      </w:pPr>
      <w:r>
        <w:rPr>
          <w:rFonts w:ascii="Calibri" w:cs="Calibri" w:eastAsia="Calibri" w:hAnsi="Calibri"/>
          <w:b/>
          <w:bCs/>
          <w:color w:val="1F4E79"/>
          <w:sz w:val="30"/>
          <w:szCs w:val="30"/>
        </w:rPr>
        <w:t xml:space="preserve">4. Tóm tắt / Ghi chú trình bày</w:t>
      </w:r>
    </w:p>
    <w:p>
      <w:pPr>
        <w:pStyle w:val="ListParagraph"/>
        <w:numPr>
          <w:ilvl w:val="0"/>
          <w:numId w:val="2"/>
        </w:numPr>
        <w:spacing w:after="90" w:line="280"/>
      </w:pPr>
      <w:r>
        <w:rPr>
          <w:rFonts w:ascii="Calibri" w:cs="Calibri" w:eastAsia="Calibri" w:hAnsi="Calibri"/>
          <w:sz w:val="22"/>
          <w:szCs w:val="22"/>
        </w:rPr>
        <w:t xml:space="preserve">Lớp (4) là lớp "lắp ráp và kết nối" — biến hạ tầng nền (lớp 1-2) và nguyên tắc an ninh (lớp 3) thành các ứng dụng/dịch vụ chạy được, đồng thời chuẩn bị dữ liệu để đưa xuống lớp (5).</w:t>
      </w:r>
    </w:p>
    <w:p>
      <w:pPr>
        <w:pStyle w:val="ListParagraph"/>
        <w:numPr>
          <w:ilvl w:val="0"/>
          <w:numId w:val="2"/>
        </w:numPr>
        <w:spacing w:after="90" w:line="280"/>
      </w:pPr>
      <w:r>
        <w:rPr>
          <w:rFonts w:ascii="Calibri" w:cs="Calibri" w:eastAsia="Calibri" w:hAnsi="Calibri"/>
          <w:sz w:val="22"/>
          <w:szCs w:val="22"/>
        </w:rPr>
        <w:t xml:space="preserve">Từ khoá cốt lõi cần nhớ: API Gateway – Microservices – Container/K8s – CI/CD – Zero Trust API security.</w:t>
      </w:r>
    </w:p>
    <w:p>
      <w:pPr>
        <w:pStyle w:val="ListParagraph"/>
        <w:numPr>
          <w:ilvl w:val="0"/>
          <w:numId w:val="2"/>
        </w:numPr>
        <w:spacing w:after="90" w:line="280"/>
      </w:pPr>
      <w:r>
        <w:rPr>
          <w:rFonts w:ascii="Calibri" w:cs="Calibri" w:eastAsia="Calibri" w:hAnsi="Calibri"/>
          <w:sz w:val="22"/>
          <w:szCs w:val="22"/>
        </w:rPr>
        <w:t xml:space="preserve">Khi trình bày, nên minh hoạ bằng sơ đồ luồng: Client → API Gateway → Service mesh/Microservices (chạy trên K8s) → Message queue → Data Platform, có lớp Security + Identity (3) bao trùm toàn bộ luồng này.</w:t>
      </w:r>
    </w:p>
    <w:p>
      <w:pPr>
        <w:pStyle w:val="Heading1"/>
        <w:spacing w:after="150" w:before="300"/>
      </w:pPr>
      <w:r>
        <w:rPr>
          <w:rFonts w:ascii="Calibri" w:cs="Calibri" w:eastAsia="Calibri" w:hAnsi="Calibri"/>
          <w:b/>
          <w:bCs/>
          <w:color w:val="1F4E79"/>
          <w:sz w:val="30"/>
          <w:szCs w:val="30"/>
        </w:rPr>
        <w:t xml:space="preserve">5. Tài liệu tham khảo (nguồn chính thống)</w:t>
      </w:r>
    </w:p>
    <w:p>
      <w:pPr>
        <w:pStyle w:val="ListParagraph"/>
        <w:numPr>
          <w:ilvl w:val="0"/>
          <w:numId w:val="2"/>
        </w:numPr>
        <w:spacing w:after="90" w:line="280"/>
      </w:pPr>
      <w:r>
        <w:rPr>
          <w:rFonts w:ascii="Calibri" w:cs="Calibri" w:eastAsia="Calibri" w:hAnsi="Calibri"/>
          <w:sz w:val="22"/>
          <w:szCs w:val="22"/>
        </w:rPr>
        <w:t xml:space="preserve">Kubernetes.io (CNCF) — Tài liệu chính thức về Kubernetes: kubernetes.io/docs/home/ và kubernetes.io/docs/concepts/overview/</w:t>
      </w:r>
    </w:p>
    <w:p>
      <w:pPr>
        <w:pStyle w:val="ListParagraph"/>
        <w:numPr>
          <w:ilvl w:val="0"/>
          <w:numId w:val="2"/>
        </w:numPr>
        <w:spacing w:after="90" w:line="280"/>
      </w:pPr>
      <w:r>
        <w:rPr>
          <w:rFonts w:ascii="Calibri" w:cs="Calibri" w:eastAsia="Calibri" w:hAnsi="Calibri"/>
          <w:sz w:val="22"/>
          <w:szCs w:val="22"/>
        </w:rPr>
        <w:t xml:space="preserve">Amazon Web Services — Amazon API Gateway Documentation: docs.aws.amazon.com/apigateway/</w:t>
      </w:r>
    </w:p>
    <w:p>
      <w:pPr>
        <w:pStyle w:val="ListParagraph"/>
        <w:numPr>
          <w:ilvl w:val="0"/>
          <w:numId w:val="2"/>
        </w:numPr>
        <w:spacing w:after="90" w:line="280"/>
      </w:pPr>
      <w:r>
        <w:rPr>
          <w:rFonts w:ascii="Calibri" w:cs="Calibri" w:eastAsia="Calibri" w:hAnsi="Calibri"/>
          <w:sz w:val="22"/>
          <w:szCs w:val="22"/>
        </w:rPr>
        <w:t xml:space="preserve">NIST Special Publication 800-207 — Zero Trust Architecture (nist.gov)</w:t>
      </w:r>
    </w:p>
    <w:p>
      <w:pPr>
        <w:pStyle w:val="ListParagraph"/>
        <w:numPr>
          <w:ilvl w:val="0"/>
          <w:numId w:val="2"/>
        </w:numPr>
        <w:spacing w:after="90" w:line="280"/>
      </w:pPr>
      <w:r>
        <w:rPr>
          <w:rFonts w:ascii="Calibri" w:cs="Calibri" w:eastAsia="Calibri" w:hAnsi="Calibri"/>
          <w:sz w:val="22"/>
          <w:szCs w:val="22"/>
        </w:rPr>
        <w:t xml:space="preserve">NIST Special Publication 800-204 — Security Strategies for Microservices-based Application Systems</w:t>
      </w:r>
    </w:p>
    <w:p>
      <w:pPr>
        <w:pStyle w:val="ListParagraph"/>
        <w:numPr>
          <w:ilvl w:val="0"/>
          <w:numId w:val="2"/>
        </w:numPr>
        <w:spacing w:after="90" w:line="280"/>
      </w:pPr>
      <w:r>
        <w:rPr>
          <w:rFonts w:ascii="Calibri" w:cs="Calibri" w:eastAsia="Calibri" w:hAnsi="Calibri"/>
          <w:sz w:val="22"/>
          <w:szCs w:val="22"/>
        </w:rPr>
        <w:t xml:space="preserve">NIST Special Publication 800-228 (2025) — Guidelines for API Protection</w:t>
      </w:r>
    </w:p>
    <w:p>
      <w:pPr>
        <w:pStyle w:val="ListParagraph"/>
        <w:numPr>
          <w:ilvl w:val="0"/>
          <w:numId w:val="2"/>
        </w:numPr>
        <w:spacing w:after="90" w:line="280"/>
      </w:pPr>
      <w:r>
        <w:rPr>
          <w:rFonts w:ascii="Calibri" w:cs="Calibri" w:eastAsia="Calibri" w:hAnsi="Calibri"/>
          <w:sz w:val="22"/>
          <w:szCs w:val="22"/>
        </w:rPr>
        <w:t xml:space="preserve">NIST — A Zero Trust Architecture Model for Access Control in Cloud-Native Applications in Multi-Location Environments: nist.gov/publications/zero-trust-architecture-model-access-control-cloud-native-applications-multi-location</w:t>
      </w:r>
    </w:p>
    <w:p>
      <w:pPr>
        <w:pStyle w:val="ListParagraph"/>
        <w:numPr>
          <w:ilvl w:val="0"/>
          <w:numId w:val="2"/>
        </w:numPr>
        <w:spacing w:after="90" w:line="280"/>
      </w:pPr>
      <w:r>
        <w:rPr>
          <w:rFonts w:ascii="Calibri" w:cs="Calibri" w:eastAsia="Calibri" w:hAnsi="Calibri"/>
          <w:sz w:val="22"/>
          <w:szCs w:val="22"/>
        </w:rPr>
        <w:t xml:space="preserve">Red Hat — What is Kubernetes?: redhat.com/en/topics/containers/what-is-kubernetes</w:t>
      </w:r>
    </w:p>
    <w:p>
      <w:pPr>
        <w:pBdr>
          <w:left w:val="single" w:color="C55A11" w:sz="18" w:space="8"/>
        </w:pBdr>
        <w:spacing w:after="200" w:before="120" w:line="280"/>
        <w:ind w:left="200"/>
      </w:pPr>
      <w:r>
        <w:rPr>
          <w:rFonts w:ascii="Calibri" w:cs="Calibri" w:eastAsia="Calibri" w:hAnsi="Calibri"/>
          <w:i/>
          <w:iCs/>
          <w:color w:val="595959"/>
          <w:sz w:val="21"/>
          <w:szCs w:val="21"/>
        </w:rPr>
        <w:t xml:space="preserve">Lưu ý: nhóm nên trích dẫn trực tiếp các trang chính thức của Kubernetes.io, AWS Docs và NIST (nist.gov) trong slide/báo cáo để đảm bảo tính chính thống theo yêu cầu của đề bài.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2026-08-01T02:53:53.388Z</dcterms:created>
  <dcterms:modified xsi:type="dcterms:W3CDTF">2026-08-01T02:53:53.403Z</dcterms:modified>
</cp:coreProperties>
</file>

<file path=docProps/custom.xml><?xml version="1.0" encoding="utf-8"?>
<Properties xmlns="http://schemas.openxmlformats.org/officeDocument/2006/custom-properties" xmlns:vt="http://schemas.openxmlformats.org/officeDocument/2006/docPropsVTypes"/>
</file>