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240"/>
      </w:pPr>
    </w:p>
    <w:p>
      <w:pPr>
        <w:widowControl/>
        <w:spacing w:after="240"/>
      </w:pPr>
    </w:p>
    <w:p>
      <w:pPr>
        <w:widowControl/>
        <w:spacing w:after="240"/>
      </w:pPr>
    </w:p>
    <w:p>
      <w:pPr>
        <w:widowControl/>
        <w:spacing w:after="280"/>
        <w:jc w:val="center"/>
      </w:pPr>
      <w:r>
        <w:rPr>
          <w:rFonts w:ascii="Calibri" w:hAnsi="Calibri" w:eastAsia="Calibri"/>
          <w:b/>
          <w:i w:val="0"/>
          <w:color w:val="B7791F"/>
          <w:sz w:val="24"/>
        </w:rPr>
        <w:t>BÁO CÁO BƯỚC 0</w:t>
      </w:r>
    </w:p>
    <w:p>
      <w:pPr>
        <w:widowControl/>
        <w:spacing w:after="200"/>
        <w:jc w:val="center"/>
      </w:pPr>
      <w:r>
        <w:rPr>
          <w:rFonts w:ascii="Calibri" w:hAnsi="Calibri" w:eastAsia="Calibri"/>
          <w:b/>
          <w:i w:val="0"/>
          <w:color w:val="1F3A5F"/>
          <w:sz w:val="54"/>
        </w:rPr>
        <w:t>KHẢO SÁT VÀ XÁC ĐỊNH PHẠM VI</w:t>
        <w:br/>
        <w:t>ĐẦU TƯ NĂNG LỰC CNTT</w:t>
      </w:r>
    </w:p>
    <w:p>
      <w:pPr>
        <w:widowControl/>
        <w:spacing w:after="360"/>
        <w:jc w:val="center"/>
      </w:pPr>
      <w:r>
        <w:rPr>
          <w:rFonts w:ascii="Calibri" w:hAnsi="Calibri" w:eastAsia="Calibri"/>
          <w:b/>
          <w:i w:val="0"/>
          <w:color w:val="2E74B5"/>
          <w:sz w:val="34"/>
        </w:rPr>
        <w:t>Đơn vị khảo sát: Ways Station</w:t>
      </w:r>
    </w:p>
    <w:p>
      <w:pPr>
        <w:widowControl/>
        <w:spacing w:after="600"/>
        <w:jc w:val="center"/>
      </w:pPr>
      <w:r>
        <w:rPr>
          <w:rFonts w:ascii="Calibri" w:hAnsi="Calibri" w:eastAsia="Calibri"/>
          <w:b w:val="0"/>
          <w:i w:val="0"/>
          <w:color w:val="1F4D78"/>
          <w:sz w:val="25"/>
        </w:rPr>
        <w:t>Lớp năng lực (4) Nền tảng ứng dụng &amp; tích hợp</w:t>
        <w:br/>
        <w:t>Lớp năng lực (5) Nền tảng dữ liệu</w:t>
      </w:r>
    </w:p>
    <w:p>
      <w:pPr>
        <w:widowControl/>
        <w:pBdr>
          <w:bottom w:val="single" w:sz="12" w:space="4" w:color="CBD5E1"/>
        </w:pBdr>
        <w:spacing w:after="560"/>
      </w:pPr>
    </w:p>
    <w:p>
      <w:pPr>
        <w:widowControl/>
        <w:spacing w:after="100"/>
        <w:jc w:val="center"/>
      </w:pPr>
      <w:r>
        <w:rPr>
          <w:rFonts w:ascii="Calibri" w:hAnsi="Calibri" w:eastAsia="Calibri"/>
          <w:b/>
          <w:i w:val="0"/>
          <w:color w:val="64748B"/>
          <w:sz w:val="21"/>
        </w:rPr>
        <w:t xml:space="preserve">Môn học: </w:t>
      </w:r>
      <w:r>
        <w:rPr>
          <w:rFonts w:ascii="Calibri" w:hAnsi="Calibri" w:eastAsia="Calibri"/>
          <w:b w:val="0"/>
          <w:i w:val="0"/>
          <w:color w:val="1E293B"/>
          <w:sz w:val="21"/>
        </w:rPr>
        <w:t>[Tên môn học]</w:t>
      </w:r>
    </w:p>
    <w:p>
      <w:pPr>
        <w:widowControl/>
        <w:spacing w:after="100"/>
        <w:jc w:val="center"/>
      </w:pPr>
      <w:r>
        <w:rPr>
          <w:rFonts w:ascii="Calibri" w:hAnsi="Calibri" w:eastAsia="Calibri"/>
          <w:b/>
          <w:i w:val="0"/>
          <w:color w:val="64748B"/>
          <w:sz w:val="21"/>
        </w:rPr>
        <w:t xml:space="preserve">Nhóm thực hiện: </w:t>
      </w:r>
      <w:r>
        <w:rPr>
          <w:rFonts w:ascii="Calibri" w:hAnsi="Calibri" w:eastAsia="Calibri"/>
          <w:b w:val="0"/>
          <w:i w:val="0"/>
          <w:color w:val="1E293B"/>
          <w:sz w:val="21"/>
        </w:rPr>
        <w:t>[Tên/Số nhóm]</w:t>
      </w:r>
    </w:p>
    <w:p>
      <w:pPr>
        <w:widowControl/>
        <w:spacing w:after="100"/>
        <w:jc w:val="center"/>
      </w:pPr>
      <w:r>
        <w:rPr>
          <w:rFonts w:ascii="Calibri" w:hAnsi="Calibri" w:eastAsia="Calibri"/>
          <w:b/>
          <w:i w:val="0"/>
          <w:color w:val="64748B"/>
          <w:sz w:val="21"/>
        </w:rPr>
        <w:t xml:space="preserve">Giảng viên: </w:t>
      </w:r>
      <w:r>
        <w:rPr>
          <w:rFonts w:ascii="Calibri" w:hAnsi="Calibri" w:eastAsia="Calibri"/>
          <w:b w:val="0"/>
          <w:i w:val="0"/>
          <w:color w:val="1E293B"/>
          <w:sz w:val="21"/>
        </w:rPr>
        <w:t>[Tên giảng viên]</w:t>
      </w:r>
    </w:p>
    <w:p>
      <w:pPr>
        <w:widowControl/>
        <w:spacing w:after="100"/>
        <w:jc w:val="center"/>
      </w:pPr>
      <w:r>
        <w:rPr>
          <w:rFonts w:ascii="Calibri" w:hAnsi="Calibri" w:eastAsia="Calibri"/>
          <w:b/>
          <w:i w:val="0"/>
          <w:color w:val="64748B"/>
          <w:sz w:val="21"/>
        </w:rPr>
        <w:t xml:space="preserve">Ngày cập nhật: </w:t>
      </w:r>
      <w:r>
        <w:rPr>
          <w:rFonts w:ascii="Calibri" w:hAnsi="Calibri" w:eastAsia="Calibri"/>
          <w:b w:val="0"/>
          <w:i w:val="0"/>
          <w:color w:val="1E293B"/>
          <w:sz w:val="21"/>
        </w:rPr>
        <w:t>15/08/2026</w:t>
      </w:r>
    </w:p>
    <w:p>
      <w:pPr>
        <w:widowControl/>
      </w:pPr>
      <w:r>
        <w:br w:type="page"/>
      </w:r>
    </w:p>
    <w:p>
      <w:pPr>
        <w:pStyle w:val="Heading1"/>
        <w:keepNext/>
        <w:widowControl/>
      </w:pPr>
      <w:r>
        <w:t>1. KHẢO SÁT TỔNG QUAN WAYS STATION</w:t>
      </w:r>
    </w:p>
    <w:p>
      <w:pPr>
        <w:pStyle w:val="Heading2"/>
        <w:keepNext/>
        <w:widowControl/>
      </w:pPr>
      <w:r>
        <w:t>1.1. Thông tin chung</w:t>
      </w:r>
    </w:p>
    <w:tbl>
      <w:tblPr>
        <w:tblStyle w:val="TableGrid"/>
        <w:tblW w:type="dxa" w:w="9360"/>
        <w:jc w:val="left"/>
        <w:tblLayout w:type="fixed"/>
        <w:tblLook w:firstColumn="1" w:firstRow="1" w:lastColumn="0" w:lastRow="0" w:noHBand="0" w:noVBand="1" w:val="04A0"/>
        <w:tblInd w:w="120" w:type="dxa"/>
        <w:tblBorders>
          <w:top w:val="single" w:sz="6" w:color="D7DEE8"/>
          <w:left w:val="single" w:sz="6" w:color="D7DEE8"/>
          <w:bottom w:val="single" w:sz="6" w:color="D7DEE8"/>
          <w:right w:val="single" w:sz="6" w:color="D7DEE8"/>
          <w:insideH w:val="single" w:sz="6" w:color="D7DEE8"/>
          <w:insideV w:val="single" w:sz="6" w:color="D7DEE8"/>
        </w:tblBorders>
      </w:tblPr>
      <w:tblGrid>
        <w:gridCol w:w="2700"/>
        <w:gridCol w:w="6660"/>
      </w:tblGrid>
      <w:tr>
        <w:trPr>
          <w:tblHeader w:val="true"/>
        </w:trPr>
        <w:tc>
          <w:tcPr>
            <w:tcW w:type="dxa" w:w="2700"/>
            <w:tcMar>
              <w:top w:w="80" w:type="dxa"/>
              <w:start w:w="120" w:type="dxa"/>
              <w:bottom w:w="80" w:type="dxa"/>
              <w:end w:w="120" w:type="dxa"/>
            </w:tcMar>
            <w:vAlign w:val="center"/>
            <w:shd w:fill="E8EEF5"/>
          </w:tcPr>
          <w:p>
            <w:pPr>
              <w:spacing w:after="0"/>
              <w:jc w:val="center"/>
            </w:pPr>
            <w:r>
              <w:rPr>
                <w:rFonts w:ascii="Calibri" w:hAnsi="Calibri" w:eastAsia="Calibri"/>
                <w:b/>
                <w:i w:val="0"/>
                <w:color w:val="1F3A5F"/>
                <w:sz w:val="20"/>
              </w:rPr>
              <w:t>Thông tin</w:t>
            </w:r>
          </w:p>
        </w:tc>
        <w:tc>
          <w:tcPr>
            <w:tcW w:type="dxa" w:w="6660"/>
            <w:tcMar>
              <w:top w:w="80" w:type="dxa"/>
              <w:start w:w="120" w:type="dxa"/>
              <w:bottom w:w="80" w:type="dxa"/>
              <w:end w:w="120" w:type="dxa"/>
            </w:tcMar>
            <w:vAlign w:val="center"/>
            <w:shd w:fill="E8EEF5"/>
          </w:tcPr>
          <w:p>
            <w:pPr>
              <w:spacing w:after="0"/>
              <w:jc w:val="center"/>
            </w:pPr>
            <w:r>
              <w:rPr>
                <w:rFonts w:ascii="Calibri" w:hAnsi="Calibri" w:eastAsia="Calibri"/>
                <w:b/>
                <w:i w:val="0"/>
                <w:color w:val="1F3A5F"/>
                <w:sz w:val="20"/>
              </w:rPr>
              <w:t>Nội dung</w:t>
            </w:r>
          </w:p>
        </w:tc>
      </w:tr>
      <w:tr>
        <w:tc>
          <w:tcPr>
            <w:tcW w:type="dxa" w:w="2700"/>
          </w:tcPr>
          <w:p>
            <w:pPr>
              <w:spacing w:after="0" w:line="264" w:lineRule="auto"/>
            </w:pPr>
            <w:r>
              <w:rPr>
                <w:rFonts w:ascii="Calibri" w:hAnsi="Calibri" w:eastAsia="Calibri"/>
                <w:b w:val="0"/>
                <w:i w:val="0"/>
                <w:color w:val="1E293B"/>
                <w:sz w:val="20"/>
              </w:rPr>
              <w:t>Tên tổ chức</w:t>
            </w:r>
          </w:p>
        </w:tc>
        <w:tc>
          <w:tcPr>
            <w:tcW w:type="dxa" w:w="6660"/>
          </w:tcPr>
          <w:p>
            <w:pPr>
              <w:spacing w:after="0" w:line="264" w:lineRule="auto"/>
            </w:pPr>
            <w:r>
              <w:rPr>
                <w:rFonts w:ascii="Calibri" w:hAnsi="Calibri" w:eastAsia="Calibri"/>
                <w:b w:val="0"/>
                <w:i w:val="0"/>
                <w:color w:val="1E293B"/>
                <w:sz w:val="20"/>
              </w:rPr>
              <w:t>Ways Station</w:t>
            </w:r>
          </w:p>
        </w:tc>
      </w:tr>
      <w:tr>
        <w:tc>
          <w:tcPr>
            <w:tcW w:type="dxa" w:w="2700"/>
          </w:tcPr>
          <w:p>
            <w:pPr>
              <w:spacing w:after="0" w:line="264" w:lineRule="auto"/>
            </w:pPr>
            <w:r>
              <w:rPr>
                <w:rFonts w:ascii="Calibri" w:hAnsi="Calibri" w:eastAsia="Calibri"/>
                <w:b w:val="0"/>
                <w:i w:val="0"/>
                <w:color w:val="1E293B"/>
                <w:sz w:val="20"/>
              </w:rPr>
              <w:t>Lĩnh vực</w:t>
            </w:r>
          </w:p>
        </w:tc>
        <w:tc>
          <w:tcPr>
            <w:tcW w:type="dxa" w:w="6660"/>
          </w:tcPr>
          <w:p>
            <w:pPr>
              <w:spacing w:after="0" w:line="264" w:lineRule="auto"/>
            </w:pPr>
            <w:r>
              <w:rPr>
                <w:rFonts w:ascii="Calibri" w:hAnsi="Calibri" w:eastAsia="Calibri"/>
                <w:b w:val="0"/>
                <w:i w:val="0"/>
                <w:color w:val="1E293B"/>
                <w:sz w:val="20"/>
              </w:rPr>
              <w:t>Hệ sinh thái thể thao, giải trí và không gian học tập/làm việc</w:t>
            </w:r>
          </w:p>
        </w:tc>
      </w:tr>
      <w:tr>
        <w:tc>
          <w:tcPr>
            <w:tcW w:type="dxa" w:w="2700"/>
          </w:tcPr>
          <w:p>
            <w:pPr>
              <w:spacing w:after="0" w:line="264" w:lineRule="auto"/>
            </w:pPr>
            <w:r>
              <w:rPr>
                <w:rFonts w:ascii="Calibri" w:hAnsi="Calibri" w:eastAsia="Calibri"/>
                <w:b w:val="0"/>
                <w:i w:val="0"/>
                <w:color w:val="1E293B"/>
                <w:sz w:val="20"/>
              </w:rPr>
              <w:t>Dịch vụ chính</w:t>
            </w:r>
          </w:p>
        </w:tc>
        <w:tc>
          <w:tcPr>
            <w:tcW w:type="dxa" w:w="6660"/>
          </w:tcPr>
          <w:p>
            <w:pPr>
              <w:spacing w:after="0" w:line="264" w:lineRule="auto"/>
            </w:pPr>
            <w:r>
              <w:rPr>
                <w:rFonts w:ascii="Calibri" w:hAnsi="Calibri" w:eastAsia="Calibri"/>
                <w:b w:val="0"/>
                <w:i w:val="0"/>
                <w:color w:val="1E293B"/>
                <w:sz w:val="20"/>
              </w:rPr>
              <w:t>Gaming, Billiards, Gym, Badminton, Ways Station Hub</w:t>
            </w:r>
          </w:p>
        </w:tc>
      </w:tr>
      <w:tr>
        <w:tc>
          <w:tcPr>
            <w:tcW w:type="dxa" w:w="2700"/>
          </w:tcPr>
          <w:p>
            <w:pPr>
              <w:spacing w:after="0" w:line="264" w:lineRule="auto"/>
            </w:pPr>
            <w:r>
              <w:rPr>
                <w:rFonts w:ascii="Calibri" w:hAnsi="Calibri" w:eastAsia="Calibri"/>
                <w:b w:val="0"/>
                <w:i w:val="0"/>
                <w:color w:val="1E293B"/>
                <w:sz w:val="20"/>
              </w:rPr>
              <w:t>Phạm vi</w:t>
            </w:r>
          </w:p>
        </w:tc>
        <w:tc>
          <w:tcPr>
            <w:tcW w:type="dxa" w:w="6660"/>
          </w:tcPr>
          <w:p>
            <w:pPr>
              <w:spacing w:after="0" w:line="264" w:lineRule="auto"/>
            </w:pPr>
            <w:r>
              <w:rPr>
                <w:rFonts w:ascii="Calibri" w:hAnsi="Calibri" w:eastAsia="Calibri"/>
                <w:b w:val="0"/>
                <w:i w:val="0"/>
                <w:color w:val="1E293B"/>
                <w:sz w:val="20"/>
              </w:rPr>
              <w:t>TP.HCM; nguồn tuyển dụng công bố 38+ chi nhánh tại 12 quận</w:t>
            </w:r>
          </w:p>
        </w:tc>
      </w:tr>
      <w:tr>
        <w:tc>
          <w:tcPr>
            <w:tcW w:type="dxa" w:w="2700"/>
          </w:tcPr>
          <w:p>
            <w:pPr>
              <w:spacing w:after="0" w:line="264" w:lineRule="auto"/>
            </w:pPr>
            <w:r>
              <w:rPr>
                <w:rFonts w:ascii="Calibri" w:hAnsi="Calibri" w:eastAsia="Calibri"/>
                <w:b w:val="0"/>
                <w:i w:val="0"/>
                <w:color w:val="1E293B"/>
                <w:sz w:val="20"/>
              </w:rPr>
              <w:t>Trụ sở công bố</w:t>
            </w:r>
          </w:p>
        </w:tc>
        <w:tc>
          <w:tcPr>
            <w:tcW w:type="dxa" w:w="6660"/>
          </w:tcPr>
          <w:p>
            <w:pPr>
              <w:spacing w:after="0" w:line="264" w:lineRule="auto"/>
            </w:pPr>
            <w:r>
              <w:rPr>
                <w:rFonts w:ascii="Calibri" w:hAnsi="Calibri" w:eastAsia="Calibri"/>
                <w:b w:val="0"/>
                <w:i w:val="0"/>
                <w:color w:val="1E293B"/>
                <w:sz w:val="20"/>
              </w:rPr>
              <w:t>770 Quang Trung, Gò Vấp, TP.HCM</w:t>
            </w:r>
          </w:p>
        </w:tc>
      </w:tr>
      <w:tr>
        <w:tc>
          <w:tcPr>
            <w:tcW w:type="dxa" w:w="2700"/>
          </w:tcPr>
          <w:p>
            <w:pPr>
              <w:spacing w:after="0" w:line="264" w:lineRule="auto"/>
            </w:pPr>
            <w:r>
              <w:rPr>
                <w:rFonts w:ascii="Calibri" w:hAnsi="Calibri" w:eastAsia="Calibri"/>
                <w:b w:val="0"/>
                <w:i w:val="0"/>
                <w:color w:val="1E293B"/>
                <w:sz w:val="20"/>
              </w:rPr>
              <w:t>Website</w:t>
            </w:r>
          </w:p>
        </w:tc>
        <w:tc>
          <w:tcPr>
            <w:tcW w:type="dxa" w:w="6660"/>
          </w:tcPr>
          <w:p>
            <w:pPr>
              <w:spacing w:after="0" w:line="264" w:lineRule="auto"/>
            </w:pPr>
            <w:r>
              <w:rPr>
                <w:rFonts w:ascii="Calibri" w:hAnsi="Calibri" w:eastAsia="Calibri"/>
                <w:b w:val="0"/>
                <w:i w:val="0"/>
                <w:color w:val="1E293B"/>
                <w:sz w:val="20"/>
              </w:rPr>
              <w:t>https://www.waysstation.vn/</w:t>
            </w:r>
          </w:p>
        </w:tc>
      </w:tr>
    </w:tbl>
    <w:p>
      <w:pPr>
        <w:pStyle w:val="Heading2"/>
        <w:keepNext/>
        <w:widowControl/>
      </w:pPr>
      <w:r>
        <w:t>1.2. Lịch sử phát triển</w:t>
      </w:r>
    </w:p>
    <w:p>
      <w:pPr>
        <w:widowControl/>
        <w:spacing w:before="0" w:after="160" w:line="300" w:lineRule="auto"/>
        <w:jc w:val="both"/>
      </w:pPr>
      <w:r>
        <w:rPr>
          <w:rFonts w:ascii="Calibri" w:hAnsi="Calibri" w:eastAsia="Calibri"/>
          <w:b w:val="0"/>
          <w:i w:val="0"/>
          <w:color w:val="1E293B"/>
          <w:sz w:val="22"/>
        </w:rPr>
        <w:t>Theo hồ sơ doanh nghiệp trên LinkedIn, Ways Station được thành lập năm 2014. Doanh nghiệp phát triển hệ sinh thái Gaming, Gym, Billiards và Badminton, sau đó mở rộng mạng lưới chi nhánh tại TP.HCM. Năm 2026, mô hình Ways Station Hub được giới thiệu như không gian học tập/làm việc 24/7 với wifi và thiết bị hỗ trợ.</w:t>
      </w:r>
    </w:p>
    <w:tbl>
      <w:tblPr>
        <w:tblStyle w:val="TableGrid"/>
        <w:tblW w:type="dxa" w:w="9360"/>
        <w:jc w:val="left"/>
        <w:tblLayout w:type="fixed"/>
        <w:tblLook w:firstColumn="1" w:firstRow="1" w:lastColumn="0" w:lastRow="0" w:noHBand="0" w:noVBand="1" w:val="04A0"/>
        <w:tblInd w:w="120" w:type="dxa"/>
        <w:tblBorders>
          <w:top w:val="single" w:sz="6" w:color="D7DEE8"/>
          <w:left w:val="single" w:sz="6" w:color="D7DEE8"/>
          <w:bottom w:val="single" w:sz="6" w:color="D7DEE8"/>
          <w:right w:val="single" w:sz="6" w:color="D7DEE8"/>
          <w:insideH w:val="single" w:sz="6" w:color="D7DEE8"/>
          <w:insideV w:val="single" w:sz="6" w:color="D7DEE8"/>
        </w:tblBorders>
      </w:tblPr>
      <w:tblGrid>
        <w:gridCol w:w="1900"/>
        <w:gridCol w:w="7460"/>
      </w:tblGrid>
      <w:tr>
        <w:trPr>
          <w:tblHeader w:val="true"/>
        </w:trPr>
        <w:tc>
          <w:tcPr>
            <w:tcW w:type="dxa" w:w="1900"/>
            <w:tcMar>
              <w:top w:w="80" w:type="dxa"/>
              <w:start w:w="120" w:type="dxa"/>
              <w:bottom w:w="80" w:type="dxa"/>
              <w:end w:w="120" w:type="dxa"/>
            </w:tcMar>
            <w:vAlign w:val="center"/>
            <w:shd w:fill="E8EEF5"/>
          </w:tcPr>
          <w:p>
            <w:pPr>
              <w:spacing w:after="0"/>
              <w:jc w:val="center"/>
            </w:pPr>
            <w:r>
              <w:rPr>
                <w:rFonts w:ascii="Calibri" w:hAnsi="Calibri" w:eastAsia="Calibri"/>
                <w:b/>
                <w:i w:val="0"/>
                <w:color w:val="1F3A5F"/>
                <w:sz w:val="19"/>
              </w:rPr>
              <w:t>Giai đoạn</w:t>
            </w:r>
          </w:p>
        </w:tc>
        <w:tc>
          <w:tcPr>
            <w:tcW w:type="dxa" w:w="7460"/>
            <w:tcMar>
              <w:top w:w="80" w:type="dxa"/>
              <w:start w:w="120" w:type="dxa"/>
              <w:bottom w:w="80" w:type="dxa"/>
              <w:end w:w="120" w:type="dxa"/>
            </w:tcMar>
            <w:vAlign w:val="center"/>
            <w:shd w:fill="E8EEF5"/>
          </w:tcPr>
          <w:p>
            <w:pPr>
              <w:spacing w:after="0"/>
              <w:jc w:val="center"/>
            </w:pPr>
            <w:r>
              <w:rPr>
                <w:rFonts w:ascii="Calibri" w:hAnsi="Calibri" w:eastAsia="Calibri"/>
                <w:b/>
                <w:i w:val="0"/>
                <w:color w:val="1F3A5F"/>
                <w:sz w:val="19"/>
              </w:rPr>
              <w:t>Nội dung phát triển</w:t>
            </w:r>
          </w:p>
        </w:tc>
      </w:tr>
      <w:tr>
        <w:tc>
          <w:tcPr>
            <w:tcW w:type="dxa" w:w="1900"/>
          </w:tcPr>
          <w:p>
            <w:pPr>
              <w:spacing w:after="0" w:line="264" w:lineRule="auto"/>
            </w:pPr>
            <w:r>
              <w:rPr>
                <w:rFonts w:ascii="Calibri" w:hAnsi="Calibri" w:eastAsia="Calibri"/>
                <w:b w:val="0"/>
                <w:i w:val="0"/>
                <w:color w:val="1E293B"/>
                <w:sz w:val="19"/>
              </w:rPr>
              <w:t>2014</w:t>
            </w:r>
          </w:p>
        </w:tc>
        <w:tc>
          <w:tcPr>
            <w:tcW w:type="dxa" w:w="7460"/>
          </w:tcPr>
          <w:p>
            <w:pPr>
              <w:spacing w:after="0" w:line="264" w:lineRule="auto"/>
            </w:pPr>
            <w:r>
              <w:rPr>
                <w:rFonts w:ascii="Calibri" w:hAnsi="Calibri" w:eastAsia="Calibri"/>
                <w:b w:val="0"/>
                <w:i w:val="0"/>
                <w:color w:val="1E293B"/>
                <w:sz w:val="19"/>
              </w:rPr>
              <w:t>Thành lập Ways Station theo hồ sơ LinkedIn.</w:t>
            </w:r>
          </w:p>
        </w:tc>
      </w:tr>
      <w:tr>
        <w:tc>
          <w:tcPr>
            <w:tcW w:type="dxa" w:w="1900"/>
          </w:tcPr>
          <w:p>
            <w:pPr>
              <w:spacing w:after="0" w:line="264" w:lineRule="auto"/>
            </w:pPr>
            <w:r>
              <w:rPr>
                <w:rFonts w:ascii="Calibri" w:hAnsi="Calibri" w:eastAsia="Calibri"/>
                <w:b w:val="0"/>
                <w:i w:val="0"/>
                <w:color w:val="1E293B"/>
                <w:sz w:val="19"/>
              </w:rPr>
              <w:t>Giai đoạn phát triển</w:t>
            </w:r>
          </w:p>
        </w:tc>
        <w:tc>
          <w:tcPr>
            <w:tcW w:type="dxa" w:w="7460"/>
          </w:tcPr>
          <w:p>
            <w:pPr>
              <w:spacing w:after="0" w:line="264" w:lineRule="auto"/>
            </w:pPr>
            <w:r>
              <w:rPr>
                <w:rFonts w:ascii="Calibri" w:hAnsi="Calibri" w:eastAsia="Calibri"/>
                <w:b w:val="0"/>
                <w:i w:val="0"/>
                <w:color w:val="1E293B"/>
                <w:sz w:val="19"/>
              </w:rPr>
              <w:t>Mở rộng các dịch vụ Gaming, Gym, Billiards và Badminton.</w:t>
            </w:r>
          </w:p>
        </w:tc>
      </w:tr>
      <w:tr>
        <w:tc>
          <w:tcPr>
            <w:tcW w:type="dxa" w:w="1900"/>
          </w:tcPr>
          <w:p>
            <w:pPr>
              <w:spacing w:after="0" w:line="264" w:lineRule="auto"/>
            </w:pPr>
            <w:r>
              <w:rPr>
                <w:rFonts w:ascii="Calibri" w:hAnsi="Calibri" w:eastAsia="Calibri"/>
                <w:b w:val="0"/>
                <w:i w:val="0"/>
                <w:color w:val="1E293B"/>
                <w:sz w:val="19"/>
              </w:rPr>
              <w:t>Đến năm 2026</w:t>
            </w:r>
          </w:p>
        </w:tc>
        <w:tc>
          <w:tcPr>
            <w:tcW w:type="dxa" w:w="7460"/>
          </w:tcPr>
          <w:p>
            <w:pPr>
              <w:spacing w:after="0" w:line="264" w:lineRule="auto"/>
            </w:pPr>
            <w:r>
              <w:rPr>
                <w:rFonts w:ascii="Calibri" w:hAnsi="Calibri" w:eastAsia="Calibri"/>
                <w:b w:val="0"/>
                <w:i w:val="0"/>
                <w:color w:val="1E293B"/>
                <w:sz w:val="19"/>
              </w:rPr>
              <w:t>Nguồn tuyển dụng công bố 38+ chi nhánh tại 12 quận ở TP.HCM.</w:t>
            </w:r>
          </w:p>
        </w:tc>
      </w:tr>
      <w:tr>
        <w:tc>
          <w:tcPr>
            <w:tcW w:type="dxa" w:w="1900"/>
          </w:tcPr>
          <w:p>
            <w:pPr>
              <w:spacing w:after="0" w:line="264" w:lineRule="auto"/>
            </w:pPr>
            <w:r>
              <w:rPr>
                <w:rFonts w:ascii="Calibri" w:hAnsi="Calibri" w:eastAsia="Calibri"/>
                <w:b w:val="0"/>
                <w:i w:val="0"/>
                <w:color w:val="1E293B"/>
                <w:sz w:val="19"/>
              </w:rPr>
              <w:t>Năm 2026</w:t>
            </w:r>
          </w:p>
        </w:tc>
        <w:tc>
          <w:tcPr>
            <w:tcW w:type="dxa" w:w="7460"/>
          </w:tcPr>
          <w:p>
            <w:pPr>
              <w:spacing w:after="0" w:line="264" w:lineRule="auto"/>
            </w:pPr>
            <w:r>
              <w:rPr>
                <w:rFonts w:ascii="Calibri" w:hAnsi="Calibri" w:eastAsia="Calibri"/>
                <w:b w:val="0"/>
                <w:i w:val="0"/>
                <w:color w:val="1E293B"/>
                <w:sz w:val="19"/>
              </w:rPr>
              <w:t>Mở rộng Ways Station Hub - không gian học tập/làm việc 24/7.</w:t>
            </w:r>
          </w:p>
        </w:tc>
      </w:tr>
    </w:tbl>
    <w:p>
      <w:pPr>
        <w:pStyle w:val="SourceNote"/>
        <w:widowControl/>
      </w:pPr>
      <w:r>
        <w:t>Ghi chú nguồn: mốc 2014 và quy mô nhân sự lấy từ LinkedIn, không thay thế hồ sơ đăng ký pháp lý của doanh nghiệp.</w:t>
      </w:r>
    </w:p>
    <w:p>
      <w:pPr>
        <w:pStyle w:val="Heading2"/>
        <w:keepNext/>
        <w:widowControl/>
      </w:pPr>
      <w:r>
        <w:t>1.3. Quy mô và phạm vi hoạt động</w:t>
      </w:r>
    </w:p>
    <w:p>
      <w:pPr>
        <w:pStyle w:val="ListBullet"/>
        <w:widowControl/>
        <w:spacing w:after="40" w:line="288" w:lineRule="auto"/>
      </w:pPr>
      <w:r>
        <w:rPr>
          <w:rFonts w:ascii="Calibri" w:hAnsi="Calibri" w:eastAsia="Calibri"/>
          <w:b w:val="0"/>
          <w:i w:val="0"/>
          <w:color w:val="1E293B"/>
          <w:sz w:val="21"/>
        </w:rPr>
        <w:t>38+ chi nhánh tại 12 quận theo trang tuyển dụng chính thức.</w:t>
      </w:r>
    </w:p>
    <w:p>
      <w:pPr>
        <w:pStyle w:val="ListBullet"/>
        <w:widowControl/>
        <w:spacing w:after="40" w:line="288" w:lineRule="auto"/>
      </w:pPr>
      <w:r>
        <w:rPr>
          <w:rFonts w:ascii="Calibri" w:hAnsi="Calibri" w:eastAsia="Calibri"/>
          <w:b w:val="0"/>
          <w:i w:val="0"/>
          <w:color w:val="1E293B"/>
          <w:sz w:val="21"/>
        </w:rPr>
        <w:t>Quy mô nhân sự tham khảo 201-500 người theo LinkedIn.</w:t>
      </w:r>
    </w:p>
    <w:p>
      <w:pPr>
        <w:pStyle w:val="ListBullet"/>
        <w:widowControl/>
        <w:spacing w:after="40" w:line="288" w:lineRule="auto"/>
      </w:pPr>
      <w:r>
        <w:rPr>
          <w:rFonts w:ascii="Calibri" w:hAnsi="Calibri" w:eastAsia="Calibri"/>
          <w:b w:val="0"/>
          <w:i w:val="0"/>
          <w:color w:val="1E293B"/>
          <w:sz w:val="21"/>
        </w:rPr>
        <w:t>Nhiều địa điểm hoạt động 24/24 và theo nhiều ca làm việc.</w:t>
      </w:r>
    </w:p>
    <w:p>
      <w:pPr>
        <w:pStyle w:val="ListBullet"/>
        <w:widowControl/>
        <w:spacing w:after="40" w:line="288" w:lineRule="auto"/>
      </w:pPr>
      <w:r>
        <w:rPr>
          <w:rFonts w:ascii="Calibri" w:hAnsi="Calibri" w:eastAsia="Calibri"/>
          <w:b w:val="0"/>
          <w:i w:val="0"/>
          <w:color w:val="1E293B"/>
          <w:sz w:val="21"/>
        </w:rPr>
        <w:t>Khách hàng gồm học sinh, sinh viên, nhân viên văn phòng, người chơi thể thao, game thủ và người cần không gian tập trung.</w:t>
      </w:r>
    </w:p>
    <w:p>
      <w:pPr>
        <w:pStyle w:val="ListBullet"/>
        <w:widowControl/>
        <w:spacing w:after="40" w:line="288" w:lineRule="auto"/>
      </w:pPr>
      <w:r>
        <w:rPr>
          <w:rFonts w:ascii="Calibri" w:hAnsi="Calibri" w:eastAsia="Calibri"/>
          <w:b w:val="0"/>
          <w:i w:val="0"/>
          <w:color w:val="1E293B"/>
          <w:sz w:val="21"/>
        </w:rPr>
        <w:t>Mỗi chi nhánh có thể cung cấp một hoặc nhiều dịch vụ khác nhau.</w:t>
      </w:r>
    </w:p>
    <w:p>
      <w:pPr>
        <w:widowControl/>
      </w:pPr>
      <w:r>
        <w:br w:type="page"/>
      </w:r>
    </w:p>
    <w:p>
      <w:pPr>
        <w:pStyle w:val="Heading1"/>
        <w:keepNext/>
        <w:widowControl/>
      </w:pPr>
      <w:r>
        <w:t>2. CƠ CẤU TỔ CHỨC VÀ QUY TRÌNH HOẠT ĐỘNG</w:t>
      </w:r>
    </w:p>
    <w:p>
      <w:pPr>
        <w:pStyle w:val="Heading2"/>
        <w:keepNext/>
        <w:widowControl/>
      </w:pPr>
      <w:r>
        <w:t>2.1. Cơ cấu tổ chức khảo sát sơ bộ</w:t>
      </w:r>
    </w:p>
    <w:p>
      <w:pPr>
        <w:widowControl/>
        <w:spacing w:before="0" w:after="160" w:line="300" w:lineRule="auto"/>
        <w:jc w:val="both"/>
      </w:pPr>
      <w:r>
        <w:rPr>
          <w:rFonts w:ascii="Calibri" w:hAnsi="Calibri" w:eastAsia="Calibri"/>
          <w:b w:val="0"/>
          <w:i w:val="0"/>
          <w:color w:val="1E293B"/>
          <w:sz w:val="22"/>
        </w:rPr>
        <w:t>Ways Station chưa công bố sơ đồ tổ chức chính thức. Dựa trên nội dung tuyển dụng, nhóm có thể sử dụng mô hình làm việc dưới đây để khảo sát, nhưng phải xác minh lại qua phỏng vấn:</w:t>
      </w:r>
    </w:p>
    <w:tbl>
      <w:tblPr>
        <w:tblStyle w:val="TableGrid"/>
        <w:tblW w:type="dxa" w:w="9360"/>
        <w:jc w:val="left"/>
        <w:tblLayout w:type="fixed"/>
        <w:tblLook w:firstColumn="1" w:firstRow="1" w:lastColumn="0" w:lastRow="0" w:noHBand="0" w:noVBand="1" w:val="04A0"/>
        <w:tblInd w:w="120" w:type="dxa"/>
        <w:tblBorders>
          <w:top w:val="single" w:sz="6" w:color="D7DEE8"/>
          <w:left w:val="single" w:sz="6" w:color="D7DEE8"/>
          <w:bottom w:val="single" w:sz="6" w:color="D7DEE8"/>
          <w:right w:val="single" w:sz="6" w:color="D7DEE8"/>
          <w:insideH w:val="single" w:sz="6" w:color="D7DEE8"/>
          <w:insideV w:val="single" w:sz="6" w:color="D7DEE8"/>
        </w:tblBorders>
      </w:tblPr>
      <w:tblGrid>
        <w:gridCol w:w="2300"/>
        <w:gridCol w:w="7060"/>
      </w:tblGrid>
      <w:tr>
        <w:trPr>
          <w:tblHeader w:val="true"/>
        </w:trPr>
        <w:tc>
          <w:tcPr>
            <w:tcW w:type="dxa" w:w="2300"/>
            <w:tcMar>
              <w:top w:w="80" w:type="dxa"/>
              <w:start w:w="120" w:type="dxa"/>
              <w:bottom w:w="80" w:type="dxa"/>
              <w:end w:w="120" w:type="dxa"/>
            </w:tcMar>
            <w:vAlign w:val="center"/>
            <w:shd w:fill="E8EEF5"/>
          </w:tcPr>
          <w:p>
            <w:pPr>
              <w:spacing w:after="0"/>
              <w:jc w:val="center"/>
            </w:pPr>
            <w:r>
              <w:rPr>
                <w:rFonts w:ascii="Calibri" w:hAnsi="Calibri" w:eastAsia="Calibri"/>
                <w:b/>
                <w:i w:val="0"/>
                <w:color w:val="1F3A5F"/>
                <w:sz w:val="19"/>
              </w:rPr>
              <w:t>Cấp/nhóm</w:t>
            </w:r>
          </w:p>
        </w:tc>
        <w:tc>
          <w:tcPr>
            <w:tcW w:type="dxa" w:w="7060"/>
            <w:tcMar>
              <w:top w:w="80" w:type="dxa"/>
              <w:start w:w="120" w:type="dxa"/>
              <w:bottom w:w="80" w:type="dxa"/>
              <w:end w:w="120" w:type="dxa"/>
            </w:tcMar>
            <w:vAlign w:val="center"/>
            <w:shd w:fill="E8EEF5"/>
          </w:tcPr>
          <w:p>
            <w:pPr>
              <w:spacing w:after="0"/>
              <w:jc w:val="center"/>
            </w:pPr>
            <w:r>
              <w:rPr>
                <w:rFonts w:ascii="Calibri" w:hAnsi="Calibri" w:eastAsia="Calibri"/>
                <w:b/>
                <w:i w:val="0"/>
                <w:color w:val="1F3A5F"/>
                <w:sz w:val="19"/>
              </w:rPr>
              <w:t>Vai trò dự kiến</w:t>
            </w:r>
          </w:p>
        </w:tc>
      </w:tr>
      <w:tr>
        <w:tc>
          <w:tcPr>
            <w:tcW w:type="dxa" w:w="2300"/>
          </w:tcPr>
          <w:p>
            <w:pPr>
              <w:spacing w:after="0" w:line="264" w:lineRule="auto"/>
            </w:pPr>
            <w:r>
              <w:rPr>
                <w:rFonts w:ascii="Calibri" w:hAnsi="Calibri" w:eastAsia="Calibri"/>
                <w:b w:val="0"/>
                <w:i w:val="0"/>
                <w:color w:val="1E293B"/>
                <w:sz w:val="19"/>
              </w:rPr>
              <w:t>Cấp hệ thống</w:t>
            </w:r>
          </w:p>
        </w:tc>
        <w:tc>
          <w:tcPr>
            <w:tcW w:type="dxa" w:w="7060"/>
          </w:tcPr>
          <w:p>
            <w:pPr>
              <w:spacing w:after="0" w:line="264" w:lineRule="auto"/>
            </w:pPr>
            <w:r>
              <w:rPr>
                <w:rFonts w:ascii="Calibri" w:hAnsi="Calibri" w:eastAsia="Calibri"/>
                <w:b w:val="0"/>
                <w:i w:val="0"/>
                <w:color w:val="1E293B"/>
                <w:sz w:val="19"/>
              </w:rPr>
              <w:t>Ban điều hành; khối vận hành; các bộ phận hỗ trợ</w:t>
            </w:r>
          </w:p>
        </w:tc>
      </w:tr>
      <w:tr>
        <w:tc>
          <w:tcPr>
            <w:tcW w:type="dxa" w:w="2300"/>
          </w:tcPr>
          <w:p>
            <w:pPr>
              <w:spacing w:after="0" w:line="264" w:lineRule="auto"/>
            </w:pPr>
            <w:r>
              <w:rPr>
                <w:rFonts w:ascii="Calibri" w:hAnsi="Calibri" w:eastAsia="Calibri"/>
                <w:b w:val="0"/>
                <w:i w:val="0"/>
                <w:color w:val="1E293B"/>
                <w:sz w:val="19"/>
              </w:rPr>
              <w:t>Cấp khu vực</w:t>
            </w:r>
          </w:p>
        </w:tc>
        <w:tc>
          <w:tcPr>
            <w:tcW w:type="dxa" w:w="7060"/>
          </w:tcPr>
          <w:p>
            <w:pPr>
              <w:spacing w:after="0" w:line="264" w:lineRule="auto"/>
            </w:pPr>
            <w:r>
              <w:rPr>
                <w:rFonts w:ascii="Calibri" w:hAnsi="Calibri" w:eastAsia="Calibri"/>
                <w:b w:val="0"/>
                <w:i w:val="0"/>
                <w:color w:val="1E293B"/>
                <w:sz w:val="19"/>
              </w:rPr>
              <w:t>Quản lý khu vực</w:t>
            </w:r>
          </w:p>
        </w:tc>
      </w:tr>
      <w:tr>
        <w:tc>
          <w:tcPr>
            <w:tcW w:type="dxa" w:w="2300"/>
          </w:tcPr>
          <w:p>
            <w:pPr>
              <w:spacing w:after="0" w:line="264" w:lineRule="auto"/>
            </w:pPr>
            <w:r>
              <w:rPr>
                <w:rFonts w:ascii="Calibri" w:hAnsi="Calibri" w:eastAsia="Calibri"/>
                <w:b w:val="0"/>
                <w:i w:val="0"/>
                <w:color w:val="1E293B"/>
                <w:sz w:val="19"/>
              </w:rPr>
              <w:t>Cấp chi nhánh</w:t>
            </w:r>
          </w:p>
        </w:tc>
        <w:tc>
          <w:tcPr>
            <w:tcW w:type="dxa" w:w="7060"/>
          </w:tcPr>
          <w:p>
            <w:pPr>
              <w:spacing w:after="0" w:line="264" w:lineRule="auto"/>
            </w:pPr>
            <w:r>
              <w:rPr>
                <w:rFonts w:ascii="Calibri" w:hAnsi="Calibri" w:eastAsia="Calibri"/>
                <w:b w:val="0"/>
                <w:i w:val="0"/>
                <w:color w:val="1E293B"/>
                <w:sz w:val="19"/>
              </w:rPr>
              <w:t>Quản lý chi nhánh; quản lý ca</w:t>
            </w:r>
          </w:p>
        </w:tc>
      </w:tr>
      <w:tr>
        <w:tc>
          <w:tcPr>
            <w:tcW w:type="dxa" w:w="2300"/>
          </w:tcPr>
          <w:p>
            <w:pPr>
              <w:spacing w:after="0" w:line="264" w:lineRule="auto"/>
            </w:pPr>
            <w:r>
              <w:rPr>
                <w:rFonts w:ascii="Calibri" w:hAnsi="Calibri" w:eastAsia="Calibri"/>
                <w:b w:val="0"/>
                <w:i w:val="0"/>
                <w:color w:val="1E293B"/>
                <w:sz w:val="19"/>
              </w:rPr>
              <w:t>Nhân sự trực tiếp</w:t>
            </w:r>
          </w:p>
        </w:tc>
        <w:tc>
          <w:tcPr>
            <w:tcW w:type="dxa" w:w="7060"/>
          </w:tcPr>
          <w:p>
            <w:pPr>
              <w:spacing w:after="0" w:line="264" w:lineRule="auto"/>
            </w:pPr>
            <w:r>
              <w:rPr>
                <w:rFonts w:ascii="Calibri" w:hAnsi="Calibri" w:eastAsia="Calibri"/>
                <w:b w:val="0"/>
                <w:i w:val="0"/>
                <w:color w:val="1E293B"/>
                <w:sz w:val="19"/>
              </w:rPr>
              <w:t>Thu ngân; phục vụ Gaming/Billiards/Gym/Badminton; giữ xe</w:t>
            </w:r>
          </w:p>
        </w:tc>
      </w:tr>
      <w:tr>
        <w:tc>
          <w:tcPr>
            <w:tcW w:type="dxa" w:w="2300"/>
          </w:tcPr>
          <w:p>
            <w:pPr>
              <w:spacing w:after="0" w:line="264" w:lineRule="auto"/>
            </w:pPr>
            <w:r>
              <w:rPr>
                <w:rFonts w:ascii="Calibri" w:hAnsi="Calibri" w:eastAsia="Calibri"/>
                <w:b w:val="0"/>
                <w:i w:val="0"/>
                <w:color w:val="1E293B"/>
                <w:sz w:val="19"/>
              </w:rPr>
              <w:t>Bộ phận cần xác minh</w:t>
            </w:r>
          </w:p>
        </w:tc>
        <w:tc>
          <w:tcPr>
            <w:tcW w:type="dxa" w:w="7060"/>
          </w:tcPr>
          <w:p>
            <w:pPr>
              <w:spacing w:after="0" w:line="264" w:lineRule="auto"/>
            </w:pPr>
            <w:r>
              <w:rPr>
                <w:rFonts w:ascii="Calibri" w:hAnsi="Calibri" w:eastAsia="Calibri"/>
                <w:b w:val="0"/>
                <w:i w:val="0"/>
                <w:color w:val="1E293B"/>
                <w:sz w:val="19"/>
              </w:rPr>
              <w:t>Nhân sự, kế toán, chăm sóc khách hàng, kỹ thuật, marketing và quản trị dữ liệu</w:t>
            </w:r>
          </w:p>
        </w:tc>
      </w:tr>
    </w:tbl>
    <w:tbl>
      <w:tblPr>
        <w:tblW w:type="dxa" w:w="9360"/>
        <w:jc w:val="left"/>
        <w:tblLayout w:type="fixed"/>
        <w:tblLook w:firstColumn="1" w:firstRow="1" w:lastColumn="0" w:lastRow="0" w:noHBand="0" w:noVBand="1" w:val="04A0"/>
        <w:tblInd w:w="120" w:type="dxa"/>
        <w:tblBorders>
          <w:top w:val="single" w:sz="8" w:color="B7791F"/>
          <w:left w:val="single" w:sz="8" w:color="B7791F"/>
          <w:bottom w:val="single" w:sz="8" w:color="B7791F"/>
          <w:right w:val="single" w:sz="8" w:color="B7791F"/>
          <w:insideH w:val="single" w:sz="8" w:color="B7791F"/>
          <w:insideV w:val="single" w:sz="8" w:color="B7791F"/>
        </w:tblBorders>
      </w:tblPr>
      <w:tblGrid>
        <w:gridCol w:w="9360"/>
      </w:tblGrid>
      <w:tr>
        <w:tc>
          <w:tcPr>
            <w:tcW w:type="dxa" w:w="9360"/>
            <w:tcMar>
              <w:top w:w="80" w:type="dxa"/>
              <w:start w:w="120" w:type="dxa"/>
              <w:bottom w:w="80" w:type="dxa"/>
              <w:end w:w="120" w:type="dxa"/>
            </w:tcMar>
            <w:vAlign w:val="center"/>
            <w:shd w:fill="FFF8E8"/>
          </w:tcPr>
          <w:p>
            <w:pPr>
              <w:spacing w:after="40"/>
            </w:pPr>
            <w:r>
              <w:rPr>
                <w:rFonts w:ascii="Calibri" w:hAnsi="Calibri" w:eastAsia="Calibri"/>
                <w:b/>
                <w:i w:val="0"/>
                <w:color w:val="B7791F"/>
                <w:sz w:val="21"/>
              </w:rPr>
              <w:t xml:space="preserve">Căn cứ khảo sát: </w:t>
            </w:r>
            <w:r>
              <w:rPr>
                <w:rFonts w:ascii="Calibri" w:hAnsi="Calibri" w:eastAsia="Calibri"/>
                <w:b w:val="0"/>
                <w:i w:val="0"/>
                <w:color w:val="1E293B"/>
                <w:sz w:val="21"/>
              </w:rPr>
              <w:t>Cơ cấu tổ chức khảo sát sơ bộ được xây dựng dựa vào thông tin tuyển dụng trên website chính thức của Ways Station.</w:t>
            </w:r>
          </w:p>
        </w:tc>
      </w:tr>
    </w:tbl>
    <w:p>
      <w:pPr>
        <w:widowControl/>
        <w:spacing w:after="40"/>
      </w:pPr>
    </w:p>
    <w:p>
      <w:pPr>
        <w:pStyle w:val="Heading2"/>
        <w:keepNext/>
        <w:widowControl/>
      </w:pPr>
      <w:r>
        <w:t>2.2. Quy trình khách hàng sử dụng dịch vụ</w:t>
      </w:r>
    </w:p>
    <w:p>
      <w:pPr>
        <w:pStyle w:val="ListNumber"/>
        <w:widowControl/>
        <w:numPr>
          <w:ilvl w:val="0"/>
          <w:numId w:val="10"/>
        </w:numPr>
        <w:spacing w:after="40" w:line="264" w:lineRule="auto"/>
      </w:pPr>
      <w:r>
        <w:rPr>
          <w:rFonts w:ascii="Calibri" w:hAnsi="Calibri" w:eastAsia="Calibri"/>
          <w:b w:val="0"/>
          <w:i w:val="0"/>
          <w:color w:val="1E293B"/>
          <w:sz w:val="21"/>
        </w:rPr>
        <w:t>Tìm chi nhánh, loại dịch vụ, thời gian hoạt động và bảng giá.</w:t>
      </w:r>
    </w:p>
    <w:p>
      <w:pPr>
        <w:pStyle w:val="ListNumber"/>
        <w:widowControl/>
        <w:numPr>
          <w:ilvl w:val="0"/>
          <w:numId w:val="10"/>
        </w:numPr>
        <w:spacing w:after="40" w:line="264" w:lineRule="auto"/>
      </w:pPr>
      <w:r>
        <w:rPr>
          <w:rFonts w:ascii="Calibri" w:hAnsi="Calibri" w:eastAsia="Calibri"/>
          <w:b w:val="0"/>
          <w:i w:val="0"/>
          <w:color w:val="1E293B"/>
          <w:sz w:val="21"/>
        </w:rPr>
        <w:t>Đặt sân/đăng ký dịch vụ hoặc đến trực tiếp tại quầy.</w:t>
      </w:r>
    </w:p>
    <w:p>
      <w:pPr>
        <w:pStyle w:val="ListNumber"/>
        <w:widowControl/>
        <w:numPr>
          <w:ilvl w:val="0"/>
          <w:numId w:val="10"/>
        </w:numPr>
        <w:spacing w:after="40" w:line="264" w:lineRule="auto"/>
      </w:pPr>
      <w:r>
        <w:rPr>
          <w:rFonts w:ascii="Calibri" w:hAnsi="Calibri" w:eastAsia="Calibri"/>
          <w:b w:val="0"/>
          <w:i w:val="0"/>
          <w:color w:val="1E293B"/>
          <w:sz w:val="21"/>
        </w:rPr>
        <w:t>Nhân viên kiểm tra tài nguyên còn trống: sân, bàn, máy hoặc chỗ ngồi.</w:t>
      </w:r>
    </w:p>
    <w:p>
      <w:pPr>
        <w:pStyle w:val="ListNumber"/>
        <w:widowControl/>
        <w:numPr>
          <w:ilvl w:val="0"/>
          <w:numId w:val="10"/>
        </w:numPr>
        <w:spacing w:after="40" w:line="264" w:lineRule="auto"/>
      </w:pPr>
      <w:r>
        <w:rPr>
          <w:rFonts w:ascii="Calibri" w:hAnsi="Calibri" w:eastAsia="Calibri"/>
          <w:b w:val="0"/>
          <w:i w:val="0"/>
          <w:color w:val="1E293B"/>
          <w:sz w:val="21"/>
        </w:rPr>
        <w:t>Check-in, mở ca sử dụng và ghi nhận dịch vụ phát sinh.</w:t>
      </w:r>
    </w:p>
    <w:p>
      <w:pPr>
        <w:pStyle w:val="ListNumber"/>
        <w:widowControl/>
        <w:numPr>
          <w:ilvl w:val="0"/>
          <w:numId w:val="10"/>
        </w:numPr>
        <w:spacing w:after="40" w:line="264" w:lineRule="auto"/>
      </w:pPr>
      <w:r>
        <w:rPr>
          <w:rFonts w:ascii="Calibri" w:hAnsi="Calibri" w:eastAsia="Calibri"/>
          <w:b w:val="0"/>
          <w:i w:val="0"/>
          <w:color w:val="1E293B"/>
          <w:sz w:val="21"/>
        </w:rPr>
        <w:t>Tính thời gian, tính phí, thanh toán và check-out.</w:t>
      </w:r>
    </w:p>
    <w:p>
      <w:pPr>
        <w:pStyle w:val="ListNumber"/>
        <w:widowControl/>
        <w:numPr>
          <w:ilvl w:val="0"/>
          <w:numId w:val="10"/>
        </w:numPr>
        <w:spacing w:after="40" w:line="264" w:lineRule="auto"/>
      </w:pPr>
      <w:r>
        <w:rPr>
          <w:rFonts w:ascii="Calibri" w:hAnsi="Calibri" w:eastAsia="Calibri"/>
          <w:b w:val="0"/>
          <w:i w:val="0"/>
          <w:color w:val="1E293B"/>
          <w:sz w:val="21"/>
        </w:rPr>
        <w:t>Cập nhật trạng thái tài nguyên và tiếp nhận phản ánh nếu có.</w:t>
      </w:r>
    </w:p>
    <w:p>
      <w:pPr>
        <w:pStyle w:val="Heading2"/>
        <w:keepNext/>
        <w:widowControl/>
      </w:pPr>
      <w:r>
        <w:t>2.3. Quy trình vận hành ca tại chi nhánh</w:t>
      </w:r>
    </w:p>
    <w:p>
      <w:pPr>
        <w:pStyle w:val="ListNumber"/>
        <w:widowControl/>
        <w:numPr>
          <w:ilvl w:val="0"/>
          <w:numId w:val="11"/>
        </w:numPr>
        <w:spacing w:after="40" w:line="264" w:lineRule="auto"/>
      </w:pPr>
      <w:r>
        <w:rPr>
          <w:rFonts w:ascii="Calibri" w:hAnsi="Calibri" w:eastAsia="Calibri"/>
          <w:b w:val="0"/>
          <w:i w:val="0"/>
          <w:color w:val="1E293B"/>
          <w:sz w:val="21"/>
        </w:rPr>
        <w:t>Chấm công và nhận bàn giao tiền, chìa khóa, vật tư, hàng hóa và thiết bị.</w:t>
      </w:r>
    </w:p>
    <w:p>
      <w:pPr>
        <w:pStyle w:val="ListNumber"/>
        <w:widowControl/>
        <w:numPr>
          <w:ilvl w:val="0"/>
          <w:numId w:val="11"/>
        </w:numPr>
        <w:spacing w:after="40" w:line="264" w:lineRule="auto"/>
      </w:pPr>
      <w:r>
        <w:rPr>
          <w:rFonts w:ascii="Calibri" w:hAnsi="Calibri" w:eastAsia="Calibri"/>
          <w:b w:val="0"/>
          <w:i w:val="0"/>
          <w:color w:val="1E293B"/>
          <w:sz w:val="21"/>
        </w:rPr>
        <w:t>Kiểm tra lịch đặt, tình trạng sân/bàn/máy và khu vực phục vụ.</w:t>
      </w:r>
    </w:p>
    <w:p>
      <w:pPr>
        <w:pStyle w:val="ListNumber"/>
        <w:widowControl/>
        <w:numPr>
          <w:ilvl w:val="0"/>
          <w:numId w:val="11"/>
        </w:numPr>
        <w:spacing w:after="40" w:line="264" w:lineRule="auto"/>
      </w:pPr>
      <w:r>
        <w:rPr>
          <w:rFonts w:ascii="Calibri" w:hAnsi="Calibri" w:eastAsia="Calibri"/>
          <w:b w:val="0"/>
          <w:i w:val="0"/>
          <w:color w:val="1E293B"/>
          <w:sz w:val="21"/>
        </w:rPr>
        <w:t>Phục vụ khách, cập nhật tình trạng tài nguyên và xử lý tình huống phát sinh.</w:t>
      </w:r>
    </w:p>
    <w:p>
      <w:pPr>
        <w:pStyle w:val="ListNumber"/>
        <w:widowControl/>
        <w:numPr>
          <w:ilvl w:val="0"/>
          <w:numId w:val="11"/>
        </w:numPr>
        <w:spacing w:after="40" w:line="264" w:lineRule="auto"/>
      </w:pPr>
      <w:r>
        <w:rPr>
          <w:rFonts w:ascii="Calibri" w:hAnsi="Calibri" w:eastAsia="Calibri"/>
          <w:b w:val="0"/>
          <w:i w:val="0"/>
          <w:color w:val="1E293B"/>
          <w:sz w:val="21"/>
        </w:rPr>
        <w:t>Kiểm kê tiền, hàng hóa, vật tư; ghi nhận sự cố hoặc sai lệch.</w:t>
      </w:r>
    </w:p>
    <w:p>
      <w:pPr>
        <w:pStyle w:val="ListNumber"/>
        <w:widowControl/>
        <w:numPr>
          <w:ilvl w:val="0"/>
          <w:numId w:val="11"/>
        </w:numPr>
        <w:spacing w:after="40" w:line="264" w:lineRule="auto"/>
      </w:pPr>
      <w:r>
        <w:rPr>
          <w:rFonts w:ascii="Calibri" w:hAnsi="Calibri" w:eastAsia="Calibri"/>
          <w:b w:val="0"/>
          <w:i w:val="0"/>
          <w:color w:val="1E293B"/>
          <w:sz w:val="21"/>
        </w:rPr>
        <w:t>Lập/chụp báo cáo cuối ca và bàn giao cho ca tiếp theo.</w:t>
      </w:r>
    </w:p>
    <w:p>
      <w:pPr>
        <w:widowControl/>
      </w:pPr>
      <w:r>
        <w:br w:type="page"/>
      </w:r>
    </w:p>
    <w:p>
      <w:pPr>
        <w:pStyle w:val="Heading2"/>
        <w:keepNext/>
        <w:widowControl/>
      </w:pPr>
      <w:r>
        <w:t>2.4. Quy trình tuyển dụng và đào tạo</w:t>
      </w:r>
    </w:p>
    <w:p>
      <w:pPr>
        <w:pStyle w:val="ListNumber"/>
        <w:widowControl/>
        <w:numPr>
          <w:ilvl w:val="0"/>
          <w:numId w:val="12"/>
        </w:numPr>
        <w:spacing w:after="40" w:line="264" w:lineRule="auto"/>
      </w:pPr>
      <w:r>
        <w:rPr>
          <w:rFonts w:ascii="Calibri" w:hAnsi="Calibri" w:eastAsia="Calibri"/>
          <w:b w:val="0"/>
          <w:i w:val="0"/>
          <w:color w:val="1E293B"/>
          <w:sz w:val="21"/>
        </w:rPr>
        <w:t>Ứng viên đăng ký và được nhân sự phỏng vấn.</w:t>
      </w:r>
    </w:p>
    <w:p>
      <w:pPr>
        <w:pStyle w:val="ListNumber"/>
        <w:widowControl/>
        <w:numPr>
          <w:ilvl w:val="0"/>
          <w:numId w:val="12"/>
        </w:numPr>
        <w:spacing w:after="40" w:line="264" w:lineRule="auto"/>
      </w:pPr>
      <w:r>
        <w:rPr>
          <w:rFonts w:ascii="Calibri" w:hAnsi="Calibri" w:eastAsia="Calibri"/>
          <w:b w:val="0"/>
          <w:i w:val="0"/>
          <w:color w:val="1E293B"/>
          <w:sz w:val="21"/>
        </w:rPr>
        <w:t>Chọn vị trí, ca làm việc và chi nhánh phù hợp.</w:t>
      </w:r>
    </w:p>
    <w:p>
      <w:pPr>
        <w:pStyle w:val="ListNumber"/>
        <w:widowControl/>
        <w:numPr>
          <w:ilvl w:val="0"/>
          <w:numId w:val="12"/>
        </w:numPr>
        <w:spacing w:after="40" w:line="264" w:lineRule="auto"/>
      </w:pPr>
      <w:r>
        <w:rPr>
          <w:rFonts w:ascii="Calibri" w:hAnsi="Calibri" w:eastAsia="Calibri"/>
          <w:b w:val="0"/>
          <w:i w:val="0"/>
          <w:color w:val="1E293B"/>
          <w:sz w:val="21"/>
        </w:rPr>
        <w:t>Nộp hồ sơ online và nhận lịch học nghiệp vụ.</w:t>
      </w:r>
    </w:p>
    <w:p>
      <w:pPr>
        <w:pStyle w:val="ListNumber"/>
        <w:widowControl/>
        <w:numPr>
          <w:ilvl w:val="0"/>
          <w:numId w:val="12"/>
        </w:numPr>
        <w:spacing w:after="40" w:line="264" w:lineRule="auto"/>
      </w:pPr>
      <w:r>
        <w:rPr>
          <w:rFonts w:ascii="Calibri" w:hAnsi="Calibri" w:eastAsia="Calibri"/>
          <w:b w:val="0"/>
          <w:i w:val="0"/>
          <w:color w:val="1E293B"/>
          <w:sz w:val="21"/>
        </w:rPr>
        <w:t>Học việc, thực hành đứng ca và thử việc có lương.</w:t>
      </w:r>
    </w:p>
    <w:p>
      <w:pPr>
        <w:pStyle w:val="ListNumber"/>
        <w:widowControl/>
        <w:numPr>
          <w:ilvl w:val="0"/>
          <w:numId w:val="12"/>
        </w:numPr>
        <w:spacing w:after="40" w:line="264" w:lineRule="auto"/>
      </w:pPr>
      <w:r>
        <w:rPr>
          <w:rFonts w:ascii="Calibri" w:hAnsi="Calibri" w:eastAsia="Calibri"/>
          <w:b w:val="0"/>
          <w:i w:val="0"/>
          <w:color w:val="1E293B"/>
          <w:sz w:val="21"/>
        </w:rPr>
        <w:t>Đánh giá kết quả trước khi trở thành nhân viên chính thức.</w:t>
      </w:r>
    </w:p>
    <w:p>
      <w:pPr>
        <w:pStyle w:val="Heading2"/>
        <w:keepNext/>
        <w:widowControl/>
      </w:pPr>
      <w:r>
        <w:t>2.5. Quy trình đặt trước Ways Station Hub từng được công bố</w:t>
      </w:r>
    </w:p>
    <w:p>
      <w:pPr>
        <w:widowControl/>
        <w:spacing w:before="0" w:after="160" w:line="300" w:lineRule="auto"/>
        <w:jc w:val="both"/>
      </w:pPr>
      <w:r>
        <w:rPr>
          <w:rFonts w:ascii="Calibri" w:hAnsi="Calibri" w:eastAsia="Calibri"/>
          <w:b w:val="0"/>
          <w:i w:val="0"/>
          <w:color w:val="1E293B"/>
          <w:sz w:val="22"/>
        </w:rPr>
        <w:t>Trong một chương trình đặt trước, trang Hub hướng dẫn khách nhắn Fanpage, tham gia nhóm Facebook, thanh toán, nhận ảnh xác nhận qua Messenger và xuất trình ảnh khi đến chi nhánh. Đây là căn cứ để đặt giả thuyết rằng dữ liệu đặt chỗ có thể đi qua nhiều kênh; cần xác minh quy trình hiện hành vì chương trình này có tính thời điểm.</w:t>
      </w:r>
    </w:p>
    <w:p>
      <w:pPr>
        <w:pStyle w:val="Heading1"/>
        <w:keepNext/>
        <w:widowControl/>
      </w:pPr>
      <w:r>
        <w:t>3. VẤN ĐỀ SƠ BỘ VÀ CÂU HỎI KHẢO SÁT</w:t>
      </w:r>
    </w:p>
    <w:tbl>
      <w:tblPr>
        <w:tblW w:type="dxa" w:w="9360"/>
        <w:jc w:val="left"/>
        <w:tblLayout w:type="fixed"/>
        <w:tblLook w:firstColumn="1" w:firstRow="1" w:lastColumn="0" w:lastRow="0" w:noHBand="0" w:noVBand="1" w:val="04A0"/>
        <w:tblInd w:w="120" w:type="dxa"/>
        <w:tblBorders>
          <w:top w:val="single" w:sz="8" w:color="1F4D78"/>
          <w:left w:val="single" w:sz="8" w:color="1F4D78"/>
          <w:bottom w:val="single" w:sz="8" w:color="1F4D78"/>
          <w:right w:val="single" w:sz="8" w:color="1F4D78"/>
          <w:insideH w:val="single" w:sz="8" w:color="1F4D78"/>
          <w:insideV w:val="single" w:sz="8" w:color="1F4D78"/>
        </w:tblBorders>
      </w:tblPr>
      <w:tblGrid>
        <w:gridCol w:w="9360"/>
      </w:tblGrid>
      <w:tr>
        <w:tc>
          <w:tcPr>
            <w:tcW w:type="dxa" w:w="9360"/>
            <w:tcMar>
              <w:top w:w="80" w:type="dxa"/>
              <w:start w:w="120" w:type="dxa"/>
              <w:bottom w:w="80" w:type="dxa"/>
              <w:end w:w="120" w:type="dxa"/>
            </w:tcMar>
            <w:vAlign w:val="center"/>
            <w:shd w:fill="F7F9FC"/>
          </w:tcPr>
          <w:p>
            <w:pPr>
              <w:spacing w:after="40"/>
            </w:pPr>
            <w:r>
              <w:rPr>
                <w:rFonts w:ascii="Calibri" w:hAnsi="Calibri" w:eastAsia="Calibri"/>
                <w:b/>
                <w:i w:val="0"/>
                <w:color w:val="1F4D78"/>
                <w:sz w:val="21"/>
              </w:rPr>
              <w:t xml:space="preserve">Giả thuyết trung tâm: </w:t>
            </w:r>
            <w:r>
              <w:rPr>
                <w:rFonts w:ascii="Calibri" w:hAnsi="Calibri" w:eastAsia="Calibri"/>
                <w:b w:val="0"/>
                <w:i w:val="0"/>
                <w:color w:val="1E293B"/>
                <w:sz w:val="21"/>
              </w:rPr>
              <w:t>Khi nhiều dịch vụ, nhiều chi nhánh, nhiều ca và nhiều kênh tương tác cùng tồn tại, dữ liệu đặt chỗ, tài nguyên, giao ca, sự cố và báo cáo có nguy cơ phân tán hoặc không đồng nhất.</w:t>
            </w:r>
          </w:p>
        </w:tc>
      </w:tr>
    </w:tbl>
    <w:p>
      <w:pPr>
        <w:widowControl/>
        <w:spacing w:after="40"/>
      </w:pPr>
    </w:p>
    <w:tbl>
      <w:tblPr>
        <w:tblStyle w:val="TableGrid"/>
        <w:tblW w:type="dxa" w:w="9360"/>
        <w:jc w:val="left"/>
        <w:tblLayout w:type="fixed"/>
        <w:tblLook w:firstColumn="1" w:firstRow="1" w:lastColumn="0" w:lastRow="0" w:noHBand="0" w:noVBand="1" w:val="04A0"/>
        <w:tblInd w:w="120" w:type="dxa"/>
        <w:tblBorders>
          <w:top w:val="single" w:sz="6" w:color="D7DEE8"/>
          <w:left w:val="single" w:sz="6" w:color="D7DEE8"/>
          <w:bottom w:val="single" w:sz="6" w:color="D7DEE8"/>
          <w:right w:val="single" w:sz="6" w:color="D7DEE8"/>
          <w:insideH w:val="single" w:sz="6" w:color="D7DEE8"/>
          <w:insideV w:val="single" w:sz="6" w:color="D7DEE8"/>
        </w:tblBorders>
      </w:tblPr>
      <w:tblGrid>
        <w:gridCol w:w="3000"/>
        <w:gridCol w:w="6360"/>
      </w:tblGrid>
      <w:tr>
        <w:trPr>
          <w:tblHeader w:val="true"/>
        </w:trPr>
        <w:tc>
          <w:tcPr>
            <w:tcW w:type="dxa" w:w="3000"/>
            <w:tcMar>
              <w:top w:w="80" w:type="dxa"/>
              <w:start w:w="120" w:type="dxa"/>
              <w:bottom w:w="80" w:type="dxa"/>
              <w:end w:w="120" w:type="dxa"/>
            </w:tcMar>
            <w:vAlign w:val="center"/>
            <w:shd w:fill="E8EEF5"/>
          </w:tcPr>
          <w:p>
            <w:pPr>
              <w:spacing w:after="0"/>
              <w:jc w:val="center"/>
            </w:pPr>
            <w:r>
              <w:rPr>
                <w:rFonts w:ascii="Calibri" w:hAnsi="Calibri" w:eastAsia="Calibri"/>
                <w:b/>
                <w:i w:val="0"/>
                <w:color w:val="1F3A5F"/>
                <w:sz w:val="19"/>
              </w:rPr>
              <w:t>Giả thuyết</w:t>
            </w:r>
          </w:p>
        </w:tc>
        <w:tc>
          <w:tcPr>
            <w:tcW w:type="dxa" w:w="6360"/>
            <w:tcMar>
              <w:top w:w="80" w:type="dxa"/>
              <w:start w:w="120" w:type="dxa"/>
              <w:bottom w:w="80" w:type="dxa"/>
              <w:end w:w="120" w:type="dxa"/>
            </w:tcMar>
            <w:vAlign w:val="center"/>
            <w:shd w:fill="E8EEF5"/>
          </w:tcPr>
          <w:p>
            <w:pPr>
              <w:spacing w:after="0"/>
              <w:jc w:val="center"/>
            </w:pPr>
            <w:r>
              <w:rPr>
                <w:rFonts w:ascii="Calibri" w:hAnsi="Calibri" w:eastAsia="Calibri"/>
                <w:b/>
                <w:i w:val="0"/>
                <w:color w:val="1F3A5F"/>
                <w:sz w:val="19"/>
              </w:rPr>
              <w:t>Ảnh hưởng cần kiểm chứng</w:t>
            </w:r>
          </w:p>
        </w:tc>
      </w:tr>
      <w:tr>
        <w:tc>
          <w:tcPr>
            <w:tcW w:type="dxa" w:w="3000"/>
          </w:tcPr>
          <w:p>
            <w:pPr>
              <w:spacing w:after="0" w:line="264" w:lineRule="auto"/>
            </w:pPr>
            <w:r>
              <w:rPr>
                <w:rFonts w:ascii="Calibri" w:hAnsi="Calibri" w:eastAsia="Calibri"/>
                <w:b w:val="0"/>
                <w:i w:val="0"/>
                <w:color w:val="1E293B"/>
                <w:sz w:val="19"/>
              </w:rPr>
              <w:t>Đặt chỗ đa kênh</w:t>
            </w:r>
          </w:p>
        </w:tc>
        <w:tc>
          <w:tcPr>
            <w:tcW w:type="dxa" w:w="6360"/>
          </w:tcPr>
          <w:p>
            <w:pPr>
              <w:spacing w:after="0" w:line="264" w:lineRule="auto"/>
            </w:pPr>
            <w:r>
              <w:rPr>
                <w:rFonts w:ascii="Calibri" w:hAnsi="Calibri" w:eastAsia="Calibri"/>
                <w:b w:val="0"/>
                <w:i w:val="0"/>
                <w:color w:val="1E293B"/>
                <w:sz w:val="19"/>
              </w:rPr>
              <w:t>Có thể phát sinh nhập liệu lặp lại hoặc đối chiếu thủ công.</w:t>
            </w:r>
          </w:p>
        </w:tc>
      </w:tr>
      <w:tr>
        <w:tc>
          <w:tcPr>
            <w:tcW w:type="dxa" w:w="3000"/>
          </w:tcPr>
          <w:p>
            <w:pPr>
              <w:spacing w:after="0" w:line="264" w:lineRule="auto"/>
            </w:pPr>
            <w:r>
              <w:rPr>
                <w:rFonts w:ascii="Calibri" w:hAnsi="Calibri" w:eastAsia="Calibri"/>
                <w:b w:val="0"/>
                <w:i w:val="0"/>
                <w:color w:val="1E293B"/>
                <w:sz w:val="19"/>
              </w:rPr>
              <w:t>Tài nguyên không đồng nhất</w:t>
            </w:r>
          </w:p>
        </w:tc>
        <w:tc>
          <w:tcPr>
            <w:tcW w:type="dxa" w:w="6360"/>
          </w:tcPr>
          <w:p>
            <w:pPr>
              <w:spacing w:after="0" w:line="264" w:lineRule="auto"/>
            </w:pPr>
            <w:r>
              <w:rPr>
                <w:rFonts w:ascii="Calibri" w:hAnsi="Calibri" w:eastAsia="Calibri"/>
                <w:b w:val="0"/>
                <w:i w:val="0"/>
                <w:color w:val="1E293B"/>
                <w:sz w:val="19"/>
              </w:rPr>
              <w:t>Mỗi dịch vụ dùng đơn vị quản lý và cách tính phí khác nhau.</w:t>
            </w:r>
          </w:p>
        </w:tc>
      </w:tr>
      <w:tr>
        <w:tc>
          <w:tcPr>
            <w:tcW w:type="dxa" w:w="3000"/>
          </w:tcPr>
          <w:p>
            <w:pPr>
              <w:spacing w:after="0" w:line="264" w:lineRule="auto"/>
            </w:pPr>
            <w:r>
              <w:rPr>
                <w:rFonts w:ascii="Calibri" w:hAnsi="Calibri" w:eastAsia="Calibri"/>
                <w:b w:val="0"/>
                <w:i w:val="0"/>
                <w:color w:val="1E293B"/>
                <w:sz w:val="19"/>
              </w:rPr>
              <w:t>Báo cáo cuối ca</w:t>
            </w:r>
          </w:p>
        </w:tc>
        <w:tc>
          <w:tcPr>
            <w:tcW w:type="dxa" w:w="6360"/>
          </w:tcPr>
          <w:p>
            <w:pPr>
              <w:spacing w:after="0" w:line="264" w:lineRule="auto"/>
            </w:pPr>
            <w:r>
              <w:rPr>
                <w:rFonts w:ascii="Calibri" w:hAnsi="Calibri" w:eastAsia="Calibri"/>
                <w:b w:val="0"/>
                <w:i w:val="0"/>
                <w:color w:val="1E293B"/>
                <w:sz w:val="19"/>
              </w:rPr>
              <w:t>Có thể khó tổng hợp nhanh giữa nhiều chi nhánh và nhiều ca.</w:t>
            </w:r>
          </w:p>
        </w:tc>
      </w:tr>
      <w:tr>
        <w:tc>
          <w:tcPr>
            <w:tcW w:type="dxa" w:w="3000"/>
          </w:tcPr>
          <w:p>
            <w:pPr>
              <w:spacing w:after="0" w:line="264" w:lineRule="auto"/>
            </w:pPr>
            <w:r>
              <w:rPr>
                <w:rFonts w:ascii="Calibri" w:hAnsi="Calibri" w:eastAsia="Calibri"/>
                <w:b w:val="0"/>
                <w:i w:val="0"/>
                <w:color w:val="1E293B"/>
                <w:sz w:val="19"/>
              </w:rPr>
              <w:t>Dữ liệu quản trị</w:t>
            </w:r>
          </w:p>
        </w:tc>
        <w:tc>
          <w:tcPr>
            <w:tcW w:type="dxa" w:w="6360"/>
          </w:tcPr>
          <w:p>
            <w:pPr>
              <w:spacing w:after="0" w:line="264" w:lineRule="auto"/>
            </w:pPr>
            <w:r>
              <w:rPr>
                <w:rFonts w:ascii="Calibri" w:hAnsi="Calibri" w:eastAsia="Calibri"/>
                <w:b w:val="0"/>
                <w:i w:val="0"/>
                <w:color w:val="1E293B"/>
                <w:sz w:val="19"/>
              </w:rPr>
              <w:t>Có thể thiếu một mô hình dữ liệu chung để so sánh công suất và hiệu quả.</w:t>
            </w:r>
          </w:p>
        </w:tc>
      </w:tr>
    </w:tbl>
    <w:p>
      <w:pPr>
        <w:pStyle w:val="Heading2"/>
        <w:keepNext/>
        <w:widowControl/>
      </w:pPr>
      <w:r>
        <w:t>Câu hỏi cần xác minh</w:t>
      </w:r>
    </w:p>
    <w:p>
      <w:pPr>
        <w:pStyle w:val="ListBullet"/>
        <w:widowControl/>
        <w:spacing w:after="0" w:line="288" w:lineRule="auto"/>
      </w:pPr>
      <w:r>
        <w:rPr>
          <w:rFonts w:ascii="Calibri" w:hAnsi="Calibri" w:eastAsia="Calibri"/>
          <w:b w:val="0"/>
          <w:i w:val="0"/>
          <w:color w:val="1E293B"/>
          <w:sz w:val="18"/>
        </w:rPr>
        <w:t>Mỗi dịch vụ đang sử dụng phần mềm nào để đặt chỗ và quản lý tài nguyên?</w:t>
      </w:r>
    </w:p>
    <w:p>
      <w:pPr>
        <w:pStyle w:val="ListBullet"/>
        <w:widowControl/>
        <w:spacing w:after="0" w:line="288" w:lineRule="auto"/>
      </w:pPr>
      <w:r>
        <w:rPr>
          <w:rFonts w:ascii="Calibri" w:hAnsi="Calibri" w:eastAsia="Calibri"/>
          <w:b w:val="0"/>
          <w:i w:val="0"/>
          <w:color w:val="1E293B"/>
          <w:sz w:val="18"/>
        </w:rPr>
        <w:t>Dữ liệu giữa Gaming, Billiards, Gym, Badminton và Hub có liên thông không?</w:t>
      </w:r>
    </w:p>
    <w:p>
      <w:pPr>
        <w:pStyle w:val="ListBullet"/>
        <w:widowControl/>
        <w:spacing w:after="0" w:line="288" w:lineRule="auto"/>
      </w:pPr>
      <w:r>
        <w:rPr>
          <w:rFonts w:ascii="Calibri" w:hAnsi="Calibri" w:eastAsia="Calibri"/>
          <w:b w:val="0"/>
          <w:i w:val="0"/>
          <w:color w:val="1E293B"/>
          <w:sz w:val="18"/>
        </w:rPr>
        <w:t>Báo cáo cuối ca được lập trên phần mềm, Excel, Google Drive hay nhóm chat?</w:t>
      </w:r>
    </w:p>
    <w:p>
      <w:pPr>
        <w:pStyle w:val="ListBullet"/>
        <w:widowControl/>
        <w:spacing w:after="0" w:line="288" w:lineRule="auto"/>
      </w:pPr>
      <w:r>
        <w:rPr>
          <w:rFonts w:ascii="Calibri" w:hAnsi="Calibri" w:eastAsia="Calibri"/>
          <w:b w:val="0"/>
          <w:i w:val="0"/>
          <w:color w:val="1E293B"/>
          <w:sz w:val="18"/>
        </w:rPr>
        <w:t>Khi khách đặt qua Fanpage, dữ liệu có phải nhập lại vào hệ thống hay không?</w:t>
      </w:r>
    </w:p>
    <w:p>
      <w:pPr>
        <w:pStyle w:val="ListBullet"/>
        <w:widowControl/>
        <w:spacing w:after="0" w:line="288" w:lineRule="auto"/>
      </w:pPr>
      <w:r>
        <w:rPr>
          <w:rFonts w:ascii="Calibri" w:hAnsi="Calibri" w:eastAsia="Calibri"/>
          <w:b w:val="0"/>
          <w:i w:val="0"/>
          <w:color w:val="1E293B"/>
          <w:sz w:val="18"/>
        </w:rPr>
        <w:t>Có mã dùng chung cho khách hàng, chi nhánh, dịch vụ và tài nguyên hay không?</w:t>
      </w:r>
    </w:p>
    <w:p>
      <w:pPr>
        <w:pStyle w:val="ListBullet"/>
        <w:widowControl/>
        <w:spacing w:after="0" w:line="288" w:lineRule="auto"/>
      </w:pPr>
      <w:r>
        <w:rPr>
          <w:rFonts w:ascii="Calibri" w:hAnsi="Calibri" w:eastAsia="Calibri"/>
          <w:b w:val="0"/>
          <w:i w:val="0"/>
          <w:color w:val="1E293B"/>
          <w:sz w:val="18"/>
        </w:rPr>
        <w:t>Ban quản lý tổng hợp doanh thu, công suất và sự cố theo cách nào?</w:t>
      </w:r>
    </w:p>
    <w:p>
      <w:pPr>
        <w:widowControl/>
      </w:pPr>
      <w:r>
        <w:br w:type="page"/>
      </w:r>
    </w:p>
    <w:p>
      <w:pPr>
        <w:pStyle w:val="Heading1"/>
        <w:keepNext/>
        <w:widowControl/>
      </w:pPr>
      <w:r>
        <w:t>4. TÓM TẮT PHẠM VI DỰ ÁN</w:t>
      </w:r>
    </w:p>
    <w:p>
      <w:pPr>
        <w:widowControl/>
        <w:spacing w:after="100"/>
      </w:pPr>
      <w:r>
        <w:rPr>
          <w:rFonts w:ascii="Calibri" w:hAnsi="Calibri" w:eastAsia="Calibri"/>
          <w:b/>
          <w:i w:val="0"/>
          <w:color w:val="1F3A5F"/>
          <w:sz w:val="26"/>
        </w:rPr>
        <w:t>XÂY DỰNG NỀN TẢNG TÍCH HỢP ỨNG DỤNG VÀ DỮ LIỆU VẬN HÀNH ĐA CHI NHÁNH CHO WAYS STATION</w:t>
      </w:r>
    </w:p>
    <w:p>
      <w:pPr>
        <w:widowControl/>
        <w:spacing w:before="0" w:after="50" w:line="240" w:lineRule="auto"/>
      </w:pPr>
      <w:r>
        <w:rPr>
          <w:rFonts w:ascii="Calibri" w:hAnsi="Calibri" w:eastAsia="Calibri"/>
          <w:b/>
          <w:i w:val="0"/>
          <w:color w:val="2E74B5"/>
          <w:sz w:val="17"/>
        </w:rPr>
        <w:t xml:space="preserve">Bối cảnh và nhu cầu: </w:t>
      </w:r>
      <w:r>
        <w:rPr>
          <w:rFonts w:ascii="Calibri" w:hAnsi="Calibri" w:eastAsia="Calibri"/>
          <w:b w:val="0"/>
          <w:i w:val="0"/>
          <w:color w:val="1E293B"/>
          <w:sz w:val="17"/>
        </w:rPr>
        <w:t>Ways Station vận hành 38+ chi nhánh với Gaming, Billiards, Gym, Badminton và Hub. Nhiều loại tài nguyên, ca làm việc và kênh phục vụ tạo nhu cầu liên thông quy trình, đồng bộ trạng thái và chuẩn hóa dữ liệu.</w:t>
      </w:r>
    </w:p>
    <w:p>
      <w:pPr>
        <w:widowControl/>
        <w:spacing w:before="0" w:after="50" w:line="240" w:lineRule="auto"/>
      </w:pPr>
      <w:r>
        <w:rPr>
          <w:rFonts w:ascii="Calibri" w:hAnsi="Calibri" w:eastAsia="Calibri"/>
          <w:b/>
          <w:i w:val="0"/>
          <w:color w:val="2E74B5"/>
          <w:sz w:val="17"/>
        </w:rPr>
        <w:t xml:space="preserve">Mục tiêu: </w:t>
      </w:r>
      <w:r>
        <w:rPr>
          <w:rFonts w:ascii="Calibri" w:hAnsi="Calibri" w:eastAsia="Calibri"/>
          <w:b w:val="0"/>
          <w:i w:val="0"/>
          <w:color w:val="1E293B"/>
          <w:sz w:val="17"/>
        </w:rPr>
        <w:t>Hình thành một nền tảng vận hành thống nhất ở quy mô thí điểm, giảm nhập lại dữ liệu và hỗ trợ quản lý theo dõi công suất, doanh thu, tài nguyên và sự cố.</w:t>
      </w:r>
    </w:p>
    <w:p>
      <w:pPr>
        <w:widowControl/>
        <w:spacing w:before="0" w:after="50" w:line="240" w:lineRule="auto"/>
      </w:pPr>
      <w:r>
        <w:rPr>
          <w:rFonts w:ascii="Calibri" w:hAnsi="Calibri" w:eastAsia="Calibri"/>
          <w:b/>
          <w:i w:val="0"/>
          <w:color w:val="2E74B5"/>
          <w:sz w:val="17"/>
        </w:rPr>
        <w:t xml:space="preserve">Năng lực đầu tư: </w:t>
      </w:r>
      <w:r>
        <w:rPr>
          <w:rFonts w:ascii="Calibri" w:hAnsi="Calibri" w:eastAsia="Calibri"/>
          <w:b w:val="0"/>
          <w:i w:val="0"/>
          <w:color w:val="1E293B"/>
          <w:sz w:val="17"/>
        </w:rPr>
        <w:t>(4) Nền tảng ứng dụng &amp; tích hợp: API, danh mục dùng chung và liên thông nghiệp vụ. (5) Nền tảng dữ liệu: mô hình dữ liệu chung, dữ liệu tập trung và dashboard quản trị.</w:t>
      </w:r>
    </w:p>
    <w:p>
      <w:pPr>
        <w:widowControl/>
        <w:spacing w:before="0" w:after="50" w:line="240" w:lineRule="auto"/>
      </w:pPr>
      <w:r>
        <w:rPr>
          <w:rFonts w:ascii="Calibri" w:hAnsi="Calibri" w:eastAsia="Calibri"/>
          <w:b/>
          <w:i w:val="0"/>
          <w:color w:val="2E74B5"/>
          <w:sz w:val="17"/>
        </w:rPr>
        <w:t xml:space="preserve">Đối tượng: </w:t>
      </w:r>
      <w:r>
        <w:rPr>
          <w:rFonts w:ascii="Calibri" w:hAnsi="Calibri" w:eastAsia="Calibri"/>
          <w:b w:val="0"/>
          <w:i w:val="0"/>
          <w:color w:val="1E293B"/>
          <w:sz w:val="17"/>
        </w:rPr>
        <w:t>Quản lý vận hành/khu vực, quản lý chi nhánh/ca, thu ngân, nhân viên phục vụ, CSKH, kỹ thuật và quản trị dữ liệu.</w:t>
      </w:r>
    </w:p>
    <w:p>
      <w:pPr>
        <w:widowControl/>
        <w:spacing w:before="0" w:after="50" w:line="240" w:lineRule="auto"/>
      </w:pPr>
      <w:r>
        <w:rPr>
          <w:rFonts w:ascii="Calibri" w:hAnsi="Calibri" w:eastAsia="Calibri"/>
          <w:b/>
          <w:i w:val="0"/>
          <w:color w:val="2E74B5"/>
          <w:sz w:val="17"/>
        </w:rPr>
        <w:t xml:space="preserve">Quy trình áp dụng: </w:t>
      </w:r>
      <w:r>
        <w:rPr>
          <w:rFonts w:ascii="Calibri" w:hAnsi="Calibri" w:eastAsia="Calibri"/>
          <w:b w:val="0"/>
          <w:i w:val="0"/>
          <w:color w:val="1E293B"/>
          <w:sz w:val="17"/>
        </w:rPr>
        <w:t>Đặt chỗ; check-in/check-out; cập nhật sân/bàn/máy/chỗ ngồi; giao ca; báo cáo vận hành; tiếp nhận và xử lý sự cố.</w:t>
      </w:r>
    </w:p>
    <w:p>
      <w:pPr>
        <w:widowControl/>
        <w:spacing w:before="0" w:after="50" w:line="240" w:lineRule="auto"/>
      </w:pPr>
      <w:r>
        <w:rPr>
          <w:rFonts w:ascii="Calibri" w:hAnsi="Calibri" w:eastAsia="Calibri"/>
          <w:b/>
          <w:i w:val="0"/>
          <w:color w:val="2E74B5"/>
          <w:sz w:val="17"/>
        </w:rPr>
        <w:t xml:space="preserve">Phạm vi: </w:t>
      </w:r>
      <w:r>
        <w:rPr>
          <w:rFonts w:ascii="Calibri" w:hAnsi="Calibri" w:eastAsia="Calibri"/>
          <w:b w:val="0"/>
          <w:i w:val="0"/>
          <w:color w:val="1E293B"/>
          <w:sz w:val="17"/>
        </w:rPr>
        <w:t>MVP và thí điểm tại 3-5 chi nhánh đại diện cho Gaming/Billiards, Badminton và Hub. Không thay thế ngay toàn bộ phần mềm hiện có.</w:t>
      </w:r>
    </w:p>
    <w:p>
      <w:pPr>
        <w:widowControl/>
        <w:spacing w:before="0" w:after="50" w:line="240" w:lineRule="auto"/>
      </w:pPr>
      <w:r>
        <w:rPr>
          <w:rFonts w:ascii="Calibri" w:hAnsi="Calibri" w:eastAsia="Calibri"/>
          <w:b/>
          <w:i w:val="0"/>
          <w:color w:val="2E74B5"/>
          <w:sz w:val="17"/>
        </w:rPr>
        <w:t xml:space="preserve">Thời gian: </w:t>
      </w:r>
      <w:r>
        <w:rPr>
          <w:rFonts w:ascii="Calibri" w:hAnsi="Calibri" w:eastAsia="Calibri"/>
          <w:b w:val="0"/>
          <w:i w:val="0"/>
          <w:color w:val="1E293B"/>
          <w:sz w:val="17"/>
        </w:rPr>
        <w:t>6 tháng: 1 tháng khảo sát, 1 tháng thiết kế, 2 tháng xây dựng MVP, 1 tháng thí điểm và 1 tháng đánh giá.</w:t>
      </w:r>
    </w:p>
    <w:p>
      <w:pPr>
        <w:widowControl/>
        <w:spacing w:before="60" w:after="60"/>
      </w:pPr>
      <w:r>
        <w:rPr>
          <w:rFonts w:ascii="Calibri" w:hAnsi="Calibri" w:eastAsia="Calibri"/>
          <w:b/>
          <w:i w:val="0"/>
          <w:color w:val="1F4D78"/>
          <w:sz w:val="18"/>
        </w:rPr>
        <w:t>So sánh các lớp năng lực</w:t>
      </w:r>
    </w:p>
    <w:tbl>
      <w:tblPr>
        <w:tblStyle w:val="TableGrid"/>
        <w:tblW w:type="dxa" w:w="9360"/>
        <w:jc w:val="left"/>
        <w:tblLayout w:type="fixed"/>
        <w:tblLook w:firstColumn="1" w:firstRow="1" w:lastColumn="0" w:lastRow="0" w:noHBand="0" w:noVBand="1" w:val="04A0"/>
        <w:tblInd w:w="120" w:type="dxa"/>
        <w:tblBorders>
          <w:top w:val="single" w:sz="6" w:color="D7DEE8"/>
          <w:left w:val="single" w:sz="6" w:color="D7DEE8"/>
          <w:bottom w:val="single" w:sz="6" w:color="D7DEE8"/>
          <w:right w:val="single" w:sz="6" w:color="D7DEE8"/>
          <w:insideH w:val="single" w:sz="6" w:color="D7DEE8"/>
          <w:insideV w:val="single" w:sz="6" w:color="D7DEE8"/>
        </w:tblBorders>
      </w:tblPr>
      <w:tblGrid>
        <w:gridCol w:w="2450"/>
        <w:gridCol w:w="4500"/>
        <w:gridCol w:w="2410"/>
      </w:tblGrid>
      <w:tr>
        <w:trPr>
          <w:tblHeader w:val="true"/>
        </w:trPr>
        <w:tc>
          <w:tcPr>
            <w:tcW w:type="dxa" w:w="2450"/>
            <w:tcMar>
              <w:top w:w="80" w:type="dxa"/>
              <w:start w:w="120" w:type="dxa"/>
              <w:bottom w:w="80" w:type="dxa"/>
              <w:end w:w="120" w:type="dxa"/>
            </w:tcMar>
            <w:vAlign w:val="center"/>
            <w:shd w:fill="E8EEF5"/>
          </w:tcPr>
          <w:p>
            <w:pPr>
              <w:spacing w:after="0"/>
              <w:jc w:val="center"/>
            </w:pPr>
            <w:r>
              <w:rPr>
                <w:rFonts w:ascii="Calibri" w:hAnsi="Calibri" w:eastAsia="Calibri"/>
                <w:b/>
                <w:i w:val="0"/>
                <w:color w:val="1F3A5F"/>
                <w:sz w:val="15"/>
              </w:rPr>
              <w:t>Lớp năng lực</w:t>
            </w:r>
          </w:p>
        </w:tc>
        <w:tc>
          <w:tcPr>
            <w:tcW w:type="dxa" w:w="4500"/>
            <w:tcMar>
              <w:top w:w="80" w:type="dxa"/>
              <w:start w:w="120" w:type="dxa"/>
              <w:bottom w:w="80" w:type="dxa"/>
              <w:end w:w="120" w:type="dxa"/>
            </w:tcMar>
            <w:vAlign w:val="center"/>
            <w:shd w:fill="E8EEF5"/>
          </w:tcPr>
          <w:p>
            <w:pPr>
              <w:spacing w:after="0"/>
              <w:jc w:val="center"/>
            </w:pPr>
            <w:r>
              <w:rPr>
                <w:rFonts w:ascii="Calibri" w:hAnsi="Calibri" w:eastAsia="Calibri"/>
                <w:b/>
                <w:i w:val="0"/>
                <w:color w:val="1F3A5F"/>
                <w:sz w:val="15"/>
              </w:rPr>
              <w:t>Giả định/đánh giá</w:t>
            </w:r>
          </w:p>
        </w:tc>
        <w:tc>
          <w:tcPr>
            <w:tcW w:type="dxa" w:w="2410"/>
            <w:tcMar>
              <w:top w:w="80" w:type="dxa"/>
              <w:start w:w="120" w:type="dxa"/>
              <w:bottom w:w="80" w:type="dxa"/>
              <w:end w:w="120" w:type="dxa"/>
            </w:tcMar>
            <w:vAlign w:val="center"/>
            <w:shd w:fill="E8EEF5"/>
          </w:tcPr>
          <w:p>
            <w:pPr>
              <w:spacing w:after="0"/>
              <w:jc w:val="center"/>
            </w:pPr>
            <w:r>
              <w:rPr>
                <w:rFonts w:ascii="Calibri" w:hAnsi="Calibri" w:eastAsia="Calibri"/>
                <w:b/>
                <w:i w:val="0"/>
                <w:color w:val="1F3A5F"/>
                <w:sz w:val="15"/>
              </w:rPr>
              <w:t>Quyết định</w:t>
            </w:r>
          </w:p>
        </w:tc>
      </w:tr>
      <w:tr>
        <w:tc>
          <w:tcPr>
            <w:tcW w:type="dxa" w:w="2450"/>
          </w:tcPr>
          <w:p>
            <w:pPr>
              <w:spacing w:after="0" w:line="264" w:lineRule="auto"/>
              <w:jc w:val="center"/>
            </w:pPr>
            <w:r>
              <w:rPr>
                <w:rFonts w:ascii="Calibri" w:hAnsi="Calibri" w:eastAsia="Calibri"/>
                <w:b w:val="0"/>
                <w:i w:val="0"/>
                <w:color w:val="1E293B"/>
                <w:sz w:val="15"/>
              </w:rPr>
              <w:t>(1) Tính toán &amp; kết nối</w:t>
            </w:r>
          </w:p>
        </w:tc>
        <w:tc>
          <w:tcPr>
            <w:tcW w:type="dxa" w:w="4500"/>
          </w:tcPr>
          <w:p>
            <w:pPr>
              <w:spacing w:after="0" w:line="264" w:lineRule="auto"/>
            </w:pPr>
            <w:r>
              <w:rPr>
                <w:rFonts w:ascii="Calibri" w:hAnsi="Calibri" w:eastAsia="Calibri"/>
                <w:b w:val="0"/>
                <w:i w:val="0"/>
                <w:color w:val="1E293B"/>
                <w:sz w:val="15"/>
              </w:rPr>
              <w:t>Đã được đánh giá và đáp ứng điều kiện nền</w:t>
            </w:r>
          </w:p>
        </w:tc>
        <w:tc>
          <w:tcPr>
            <w:tcW w:type="dxa" w:w="2410"/>
          </w:tcPr>
          <w:p>
            <w:pPr>
              <w:spacing w:after="0" w:line="264" w:lineRule="auto"/>
            </w:pPr>
            <w:r>
              <w:rPr>
                <w:rFonts w:ascii="Calibri" w:hAnsi="Calibri" w:eastAsia="Calibri"/>
                <w:b w:val="0"/>
                <w:i w:val="0"/>
                <w:color w:val="1E293B"/>
                <w:sz w:val="15"/>
              </w:rPr>
              <w:t>Không đầu tư trong phạm vi này</w:t>
            </w:r>
          </w:p>
        </w:tc>
      </w:tr>
      <w:tr>
        <w:tc>
          <w:tcPr>
            <w:tcW w:type="dxa" w:w="2450"/>
          </w:tcPr>
          <w:p>
            <w:pPr>
              <w:spacing w:after="0" w:line="264" w:lineRule="auto"/>
              <w:jc w:val="center"/>
            </w:pPr>
            <w:r>
              <w:rPr>
                <w:rFonts w:ascii="Calibri" w:hAnsi="Calibri" w:eastAsia="Calibri"/>
                <w:b w:val="0"/>
                <w:i w:val="0"/>
                <w:color w:val="1E293B"/>
                <w:sz w:val="15"/>
              </w:rPr>
              <w:t>(2) Nền tảng vận hành</w:t>
            </w:r>
          </w:p>
        </w:tc>
        <w:tc>
          <w:tcPr>
            <w:tcW w:type="dxa" w:w="4500"/>
          </w:tcPr>
          <w:p>
            <w:pPr>
              <w:spacing w:after="0" w:line="264" w:lineRule="auto"/>
            </w:pPr>
            <w:r>
              <w:rPr>
                <w:rFonts w:ascii="Calibri" w:hAnsi="Calibri" w:eastAsia="Calibri"/>
                <w:b w:val="0"/>
                <w:i w:val="0"/>
                <w:color w:val="1E293B"/>
                <w:sz w:val="15"/>
              </w:rPr>
              <w:t>Đã được đánh giá và đáp ứng điều kiện nền</w:t>
            </w:r>
          </w:p>
        </w:tc>
        <w:tc>
          <w:tcPr>
            <w:tcW w:type="dxa" w:w="2410"/>
          </w:tcPr>
          <w:p>
            <w:pPr>
              <w:spacing w:after="0" w:line="264" w:lineRule="auto"/>
            </w:pPr>
            <w:r>
              <w:rPr>
                <w:rFonts w:ascii="Calibri" w:hAnsi="Calibri" w:eastAsia="Calibri"/>
                <w:b w:val="0"/>
                <w:i w:val="0"/>
                <w:color w:val="1E293B"/>
                <w:sz w:val="15"/>
              </w:rPr>
              <w:t>Không đầu tư trong phạm vi này</w:t>
            </w:r>
          </w:p>
        </w:tc>
      </w:tr>
      <w:tr>
        <w:tc>
          <w:tcPr>
            <w:tcW w:type="dxa" w:w="2450"/>
          </w:tcPr>
          <w:p>
            <w:pPr>
              <w:spacing w:after="0" w:line="264" w:lineRule="auto"/>
              <w:jc w:val="center"/>
            </w:pPr>
            <w:r>
              <w:rPr>
                <w:rFonts w:ascii="Calibri" w:hAnsi="Calibri" w:eastAsia="Calibri"/>
                <w:b w:val="0"/>
                <w:i w:val="0"/>
                <w:color w:val="1E293B"/>
                <w:sz w:val="15"/>
              </w:rPr>
              <w:t>(3) Danh tính &amp; bảo mật</w:t>
            </w:r>
          </w:p>
        </w:tc>
        <w:tc>
          <w:tcPr>
            <w:tcW w:type="dxa" w:w="4500"/>
          </w:tcPr>
          <w:p>
            <w:pPr>
              <w:spacing w:after="0" w:line="264" w:lineRule="auto"/>
            </w:pPr>
            <w:r>
              <w:rPr>
                <w:rFonts w:ascii="Calibri" w:hAnsi="Calibri" w:eastAsia="Calibri"/>
                <w:b w:val="0"/>
                <w:i w:val="0"/>
                <w:color w:val="1E293B"/>
                <w:sz w:val="15"/>
              </w:rPr>
              <w:t>Đã được đánh giá và đáp ứng điều kiện nền</w:t>
            </w:r>
          </w:p>
        </w:tc>
        <w:tc>
          <w:tcPr>
            <w:tcW w:type="dxa" w:w="2410"/>
          </w:tcPr>
          <w:p>
            <w:pPr>
              <w:spacing w:after="0" w:line="264" w:lineRule="auto"/>
            </w:pPr>
            <w:r>
              <w:rPr>
                <w:rFonts w:ascii="Calibri" w:hAnsi="Calibri" w:eastAsia="Calibri"/>
                <w:b w:val="0"/>
                <w:i w:val="0"/>
                <w:color w:val="1E293B"/>
                <w:sz w:val="15"/>
              </w:rPr>
              <w:t>Không đầu tư trong phạm vi này</w:t>
            </w:r>
          </w:p>
        </w:tc>
      </w:tr>
      <w:tr>
        <w:tc>
          <w:tcPr>
            <w:tcW w:type="dxa" w:w="2450"/>
          </w:tcPr>
          <w:p>
            <w:pPr>
              <w:spacing w:after="0" w:line="264" w:lineRule="auto"/>
              <w:jc w:val="center"/>
            </w:pPr>
            <w:r>
              <w:rPr>
                <w:rFonts w:ascii="Calibri" w:hAnsi="Calibri" w:eastAsia="Calibri"/>
                <w:b w:val="0"/>
                <w:i w:val="0"/>
                <w:color w:val="1E293B"/>
                <w:sz w:val="15"/>
              </w:rPr>
              <w:t>(4) Ứng dụng &amp; tích hợp</w:t>
            </w:r>
          </w:p>
        </w:tc>
        <w:tc>
          <w:tcPr>
            <w:tcW w:type="dxa" w:w="4500"/>
          </w:tcPr>
          <w:p>
            <w:pPr>
              <w:spacing w:after="0" w:line="264" w:lineRule="auto"/>
            </w:pPr>
            <w:r>
              <w:rPr>
                <w:rFonts w:ascii="Calibri" w:hAnsi="Calibri" w:eastAsia="Calibri"/>
                <w:b w:val="0"/>
                <w:i w:val="0"/>
                <w:color w:val="1E293B"/>
                <w:sz w:val="15"/>
              </w:rPr>
              <w:t>Cần tăng cường để liên thông ứng dụng và quy trình</w:t>
            </w:r>
          </w:p>
        </w:tc>
        <w:tc>
          <w:tcPr>
            <w:tcW w:type="dxa" w:w="2410"/>
          </w:tcPr>
          <w:p>
            <w:pPr>
              <w:spacing w:after="0" w:line="264" w:lineRule="auto"/>
            </w:pPr>
            <w:r>
              <w:rPr>
                <w:rFonts w:ascii="Calibri" w:hAnsi="Calibri" w:eastAsia="Calibri"/>
                <w:b w:val="0"/>
                <w:i w:val="0"/>
                <w:color w:val="1E293B"/>
                <w:sz w:val="15"/>
              </w:rPr>
              <w:t>Năng lực đầu tư</w:t>
            </w:r>
          </w:p>
        </w:tc>
      </w:tr>
      <w:tr>
        <w:tc>
          <w:tcPr>
            <w:tcW w:type="dxa" w:w="2450"/>
          </w:tcPr>
          <w:p>
            <w:pPr>
              <w:spacing w:after="0" w:line="264" w:lineRule="auto"/>
              <w:jc w:val="center"/>
            </w:pPr>
            <w:r>
              <w:rPr>
                <w:rFonts w:ascii="Calibri" w:hAnsi="Calibri" w:eastAsia="Calibri"/>
                <w:b w:val="0"/>
                <w:i w:val="0"/>
                <w:color w:val="1E293B"/>
                <w:sz w:val="15"/>
              </w:rPr>
              <w:t>(5) Nền tảng dữ liệu</w:t>
            </w:r>
          </w:p>
        </w:tc>
        <w:tc>
          <w:tcPr>
            <w:tcW w:type="dxa" w:w="4500"/>
          </w:tcPr>
          <w:p>
            <w:pPr>
              <w:spacing w:after="0" w:line="264" w:lineRule="auto"/>
            </w:pPr>
            <w:r>
              <w:rPr>
                <w:rFonts w:ascii="Calibri" w:hAnsi="Calibri" w:eastAsia="Calibri"/>
                <w:b w:val="0"/>
                <w:i w:val="0"/>
                <w:color w:val="1E293B"/>
                <w:sz w:val="15"/>
              </w:rPr>
              <w:t>Cần tăng cường để chuẩn hóa và khai thác dữ liệu</w:t>
            </w:r>
          </w:p>
        </w:tc>
        <w:tc>
          <w:tcPr>
            <w:tcW w:type="dxa" w:w="2410"/>
          </w:tcPr>
          <w:p>
            <w:pPr>
              <w:spacing w:after="0" w:line="264" w:lineRule="auto"/>
            </w:pPr>
            <w:r>
              <w:rPr>
                <w:rFonts w:ascii="Calibri" w:hAnsi="Calibri" w:eastAsia="Calibri"/>
                <w:b w:val="0"/>
                <w:i w:val="0"/>
                <w:color w:val="1E293B"/>
                <w:sz w:val="15"/>
              </w:rPr>
              <w:t>Năng lực đầu tư</w:t>
            </w:r>
          </w:p>
        </w:tc>
      </w:tr>
    </w:tbl>
    <w:tbl>
      <w:tblPr>
        <w:tblStyle w:val="TableGrid"/>
        <w:tblW w:type="dxa" w:w="9360"/>
        <w:jc w:val="left"/>
        <w:tblLayout w:type="fixed"/>
        <w:tblLook w:firstColumn="1" w:firstRow="1" w:lastColumn="0" w:lastRow="0" w:noHBand="0" w:noVBand="1" w:val="04A0"/>
        <w:tblInd w:w="120" w:type="dxa"/>
        <w:tblBorders>
          <w:top w:val="single" w:sz="6" w:color="D7DEE8"/>
          <w:left w:val="single" w:sz="6" w:color="D7DEE8"/>
          <w:bottom w:val="single" w:sz="6" w:color="D7DEE8"/>
          <w:right w:val="single" w:sz="6" w:color="D7DEE8"/>
          <w:insideH w:val="single" w:sz="6" w:color="D7DEE8"/>
          <w:insideV w:val="single" w:sz="6" w:color="D7DEE8"/>
        </w:tblBorders>
      </w:tblPr>
      <w:tblGrid>
        <w:gridCol w:w="1750"/>
        <w:gridCol w:w="7610"/>
      </w:tblGrid>
      <w:tr>
        <w:trPr>
          <w:tblHeader w:val="true"/>
        </w:trPr>
        <w:tc>
          <w:tcPr>
            <w:tcW w:type="dxa" w:w="1750"/>
            <w:tcMar>
              <w:top w:w="80" w:type="dxa"/>
              <w:start w:w="120" w:type="dxa"/>
              <w:bottom w:w="80" w:type="dxa"/>
              <w:end w:w="120" w:type="dxa"/>
            </w:tcMar>
            <w:vAlign w:val="center"/>
            <w:shd w:fill="E8EEF5"/>
          </w:tcPr>
          <w:p>
            <w:pPr>
              <w:spacing w:after="0"/>
              <w:jc w:val="center"/>
            </w:pPr>
            <w:r>
              <w:rPr>
                <w:rFonts w:ascii="Calibri" w:hAnsi="Calibri" w:eastAsia="Calibri"/>
                <w:b/>
                <w:i w:val="0"/>
                <w:color w:val="1F3A5F"/>
                <w:sz w:val="15"/>
              </w:rPr>
              <w:t>Hạng mục</w:t>
            </w:r>
          </w:p>
        </w:tc>
        <w:tc>
          <w:tcPr>
            <w:tcW w:type="dxa" w:w="7610"/>
            <w:tcMar>
              <w:top w:w="80" w:type="dxa"/>
              <w:start w:w="120" w:type="dxa"/>
              <w:bottom w:w="80" w:type="dxa"/>
              <w:end w:w="120" w:type="dxa"/>
            </w:tcMar>
            <w:vAlign w:val="center"/>
            <w:shd w:fill="E8EEF5"/>
          </w:tcPr>
          <w:p>
            <w:pPr>
              <w:spacing w:after="0"/>
              <w:jc w:val="center"/>
            </w:pPr>
            <w:r>
              <w:rPr>
                <w:rFonts w:ascii="Calibri" w:hAnsi="Calibri" w:eastAsia="Calibri"/>
                <w:b/>
                <w:i w:val="0"/>
                <w:color w:val="1F3A5F"/>
                <w:sz w:val="15"/>
              </w:rPr>
              <w:t>Nội dung</w:t>
            </w:r>
          </w:p>
        </w:tc>
      </w:tr>
      <w:tr>
        <w:tc>
          <w:tcPr>
            <w:tcW w:type="dxa" w:w="1750"/>
          </w:tcPr>
          <w:p>
            <w:pPr>
              <w:spacing w:after="0" w:line="264" w:lineRule="auto"/>
            </w:pPr>
            <w:r>
              <w:rPr>
                <w:rFonts w:ascii="Calibri" w:hAnsi="Calibri" w:eastAsia="Calibri"/>
                <w:b/>
                <w:i w:val="0"/>
                <w:color w:val="1F4D78"/>
                <w:sz w:val="15"/>
              </w:rPr>
              <w:t>Đầu ra</w:t>
            </w:r>
          </w:p>
        </w:tc>
        <w:tc>
          <w:tcPr>
            <w:tcW w:type="dxa" w:w="7610"/>
          </w:tcPr>
          <w:p>
            <w:pPr>
              <w:spacing w:after="0" w:line="264" w:lineRule="auto"/>
            </w:pPr>
            <w:r>
              <w:rPr>
                <w:rFonts w:ascii="Calibri" w:hAnsi="Calibri" w:eastAsia="Calibri"/>
                <w:b w:val="0"/>
                <w:i w:val="0"/>
                <w:color w:val="1E293B"/>
                <w:sz w:val="15"/>
              </w:rPr>
              <w:t>Sơ đồ As-is/To-be; kiến trúc tích hợp; bộ API/danh mục dùng chung; dữ liệu tập trung; dashboard; báo cáo thí điểm.</w:t>
            </w:r>
          </w:p>
        </w:tc>
      </w:tr>
      <w:tr>
        <w:tc>
          <w:tcPr>
            <w:tcW w:type="dxa" w:w="1750"/>
          </w:tcPr>
          <w:p>
            <w:pPr>
              <w:spacing w:after="0" w:line="264" w:lineRule="auto"/>
            </w:pPr>
            <w:r>
              <w:rPr>
                <w:rFonts w:ascii="Calibri" w:hAnsi="Calibri" w:eastAsia="Calibri"/>
                <w:b/>
                <w:i w:val="0"/>
                <w:color w:val="1F4D78"/>
                <w:sz w:val="15"/>
              </w:rPr>
              <w:t>KPI dự kiến</w:t>
            </w:r>
          </w:p>
        </w:tc>
        <w:tc>
          <w:tcPr>
            <w:tcW w:type="dxa" w:w="7610"/>
          </w:tcPr>
          <w:p>
            <w:pPr>
              <w:spacing w:after="0" w:line="264" w:lineRule="auto"/>
            </w:pPr>
            <w:r>
              <w:rPr>
                <w:rFonts w:ascii="Calibri" w:hAnsi="Calibri" w:eastAsia="Calibri"/>
                <w:b w:val="0"/>
                <w:i w:val="0"/>
                <w:color w:val="1E293B"/>
                <w:sz w:val="15"/>
              </w:rPr>
              <w:t>100% lượt đặt tại điểm thí điểm được ghi nhận tập trung; giảm thời gian tổng hợp báo cáo; giảm nhập lại; trạng thái tài nguyên được cập nhật gần thời gian thực.</w:t>
            </w:r>
          </w:p>
        </w:tc>
      </w:tr>
      <w:tr>
        <w:tc>
          <w:tcPr>
            <w:tcW w:type="dxa" w:w="1750"/>
          </w:tcPr>
          <w:p>
            <w:pPr>
              <w:spacing w:after="0" w:line="264" w:lineRule="auto"/>
            </w:pPr>
            <w:r>
              <w:rPr>
                <w:rFonts w:ascii="Calibri" w:hAnsi="Calibri" w:eastAsia="Calibri"/>
                <w:b/>
                <w:i w:val="0"/>
                <w:color w:val="1F4D78"/>
                <w:sz w:val="15"/>
              </w:rPr>
              <w:t>Ngoài phạm vi</w:t>
            </w:r>
          </w:p>
        </w:tc>
        <w:tc>
          <w:tcPr>
            <w:tcW w:type="dxa" w:w="7610"/>
          </w:tcPr>
          <w:p>
            <w:pPr>
              <w:spacing w:after="0" w:line="264" w:lineRule="auto"/>
            </w:pPr>
            <w:r>
              <w:rPr>
                <w:rFonts w:ascii="Calibri" w:hAnsi="Calibri" w:eastAsia="Calibri"/>
                <w:b w:val="0"/>
                <w:i w:val="0"/>
                <w:color w:val="1E293B"/>
                <w:sz w:val="15"/>
              </w:rPr>
              <w:t>Thay thế toàn bộ kế toán, nhân sự, chấm công; triển khai đồng loạt 38+ chi nhánh; thay đổi giá và mô hình kinh doanh.</w:t>
            </w:r>
          </w:p>
        </w:tc>
      </w:tr>
    </w:tbl>
    <w:p>
      <w:pPr>
        <w:widowControl/>
        <w:spacing w:before="60" w:after="0"/>
      </w:pPr>
      <w:r>
        <w:rPr>
          <w:rFonts w:ascii="Calibri" w:hAnsi="Calibri" w:eastAsia="Calibri"/>
          <w:b/>
          <w:i w:val="0"/>
          <w:color w:val="9B1C1C"/>
          <w:sz w:val="15"/>
        </w:rPr>
        <w:t xml:space="preserve">Giả định/điều kiện: </w:t>
      </w:r>
      <w:r>
        <w:rPr>
          <w:rFonts w:ascii="Calibri" w:hAnsi="Calibri" w:eastAsia="Calibri"/>
          <w:b w:val="0"/>
          <w:i w:val="0"/>
          <w:color w:val="1E293B"/>
          <w:sz w:val="15"/>
        </w:rPr>
        <w:t>Các lớp (1), (2) và (3) đã được doanh nghiệp đánh giá, đáp ứng đủ điều kiện nền cho dự án. Các giả thuyết về quy trình và dữ liệu vẫn cần được xác minh trước khi chốt thiết kế và KPI.</w:t>
      </w:r>
    </w:p>
    <w:p>
      <w:pPr>
        <w:widowControl/>
      </w:pPr>
      <w:r>
        <w:br w:type="page"/>
      </w:r>
    </w:p>
    <w:p>
      <w:pPr>
        <w:pStyle w:val="Heading1"/>
        <w:keepNext/>
        <w:widowControl/>
      </w:pPr>
      <w:r>
        <w:t>5. DANH MỤC TÀI LIỆU KHẢO SÁT VÀ THAM KHẢO</w:t>
      </w:r>
    </w:p>
    <w:tbl>
      <w:tblPr>
        <w:tblStyle w:val="TableGrid"/>
        <w:tblW w:type="dxa" w:w="9360"/>
        <w:jc w:val="left"/>
        <w:tblLayout w:type="fixed"/>
        <w:tblLook w:firstColumn="1" w:firstRow="1" w:lastColumn="0" w:lastRow="0" w:noHBand="0" w:noVBand="1" w:val="04A0"/>
        <w:tblInd w:w="120" w:type="dxa"/>
        <w:tblBorders>
          <w:top w:val="single" w:sz="6" w:color="D7DEE8"/>
          <w:left w:val="single" w:sz="6" w:color="D7DEE8"/>
          <w:bottom w:val="single" w:sz="6" w:color="D7DEE8"/>
          <w:right w:val="single" w:sz="6" w:color="D7DEE8"/>
          <w:insideH w:val="single" w:sz="6" w:color="D7DEE8"/>
          <w:insideV w:val="single" w:sz="6" w:color="D7DEE8"/>
        </w:tblBorders>
      </w:tblPr>
      <w:tblGrid>
        <w:gridCol w:w="600"/>
        <w:gridCol w:w="2600"/>
        <w:gridCol w:w="4400"/>
        <w:gridCol w:w="1760"/>
      </w:tblGrid>
      <w:tr>
        <w:trPr>
          <w:tblHeader w:val="true"/>
        </w:trPr>
        <w:tc>
          <w:tcPr>
            <w:tcW w:type="dxa" w:w="600"/>
            <w:tcMar>
              <w:top w:w="80" w:type="dxa"/>
              <w:start w:w="120" w:type="dxa"/>
              <w:bottom w:w="80" w:type="dxa"/>
              <w:end w:w="120" w:type="dxa"/>
            </w:tcMar>
            <w:vAlign w:val="center"/>
            <w:shd w:fill="E8EEF5"/>
          </w:tcPr>
          <w:p>
            <w:pPr>
              <w:spacing w:after="0"/>
              <w:jc w:val="center"/>
            </w:pPr>
            <w:r>
              <w:rPr>
                <w:rFonts w:ascii="Calibri" w:hAnsi="Calibri" w:eastAsia="Calibri"/>
                <w:b/>
                <w:i w:val="0"/>
                <w:color w:val="1F3A5F"/>
                <w:sz w:val="17"/>
              </w:rPr>
              <w:t>STT</w:t>
            </w:r>
          </w:p>
        </w:tc>
        <w:tc>
          <w:tcPr>
            <w:tcW w:type="dxa" w:w="2600"/>
            <w:tcMar>
              <w:top w:w="80" w:type="dxa"/>
              <w:start w:w="120" w:type="dxa"/>
              <w:bottom w:w="80" w:type="dxa"/>
              <w:end w:w="120" w:type="dxa"/>
            </w:tcMar>
            <w:vAlign w:val="center"/>
            <w:shd w:fill="E8EEF5"/>
          </w:tcPr>
          <w:p>
            <w:pPr>
              <w:spacing w:after="0"/>
              <w:jc w:val="center"/>
            </w:pPr>
            <w:r>
              <w:rPr>
                <w:rFonts w:ascii="Calibri" w:hAnsi="Calibri" w:eastAsia="Calibri"/>
                <w:b/>
                <w:i w:val="0"/>
                <w:color w:val="1F3A5F"/>
                <w:sz w:val="17"/>
              </w:rPr>
              <w:t>Tài liệu</w:t>
            </w:r>
          </w:p>
        </w:tc>
        <w:tc>
          <w:tcPr>
            <w:tcW w:type="dxa" w:w="4400"/>
            <w:tcMar>
              <w:top w:w="80" w:type="dxa"/>
              <w:start w:w="120" w:type="dxa"/>
              <w:bottom w:w="80" w:type="dxa"/>
              <w:end w:w="120" w:type="dxa"/>
            </w:tcMar>
            <w:vAlign w:val="center"/>
            <w:shd w:fill="E8EEF5"/>
          </w:tcPr>
          <w:p>
            <w:pPr>
              <w:spacing w:after="0"/>
              <w:jc w:val="center"/>
            </w:pPr>
            <w:r>
              <w:rPr>
                <w:rFonts w:ascii="Calibri" w:hAnsi="Calibri" w:eastAsia="Calibri"/>
                <w:b/>
                <w:i w:val="0"/>
                <w:color w:val="1F3A5F"/>
                <w:sz w:val="17"/>
              </w:rPr>
              <w:t>Nội dung sử dụng</w:t>
            </w:r>
          </w:p>
        </w:tc>
        <w:tc>
          <w:tcPr>
            <w:tcW w:type="dxa" w:w="1760"/>
            <w:tcMar>
              <w:top w:w="80" w:type="dxa"/>
              <w:start w:w="120" w:type="dxa"/>
              <w:bottom w:w="80" w:type="dxa"/>
              <w:end w:w="120" w:type="dxa"/>
            </w:tcMar>
            <w:vAlign w:val="center"/>
            <w:shd w:fill="E8EEF5"/>
          </w:tcPr>
          <w:p>
            <w:pPr>
              <w:spacing w:after="0"/>
              <w:jc w:val="center"/>
            </w:pPr>
            <w:r>
              <w:rPr>
                <w:rFonts w:ascii="Calibri" w:hAnsi="Calibri" w:eastAsia="Calibri"/>
                <w:b/>
                <w:i w:val="0"/>
                <w:color w:val="1F3A5F"/>
                <w:sz w:val="17"/>
              </w:rPr>
              <w:t>Mức độ</w:t>
            </w:r>
          </w:p>
        </w:tc>
      </w:tr>
      <w:tr>
        <w:tc>
          <w:tcPr>
            <w:tcW w:type="dxa" w:w="600"/>
          </w:tcPr>
          <w:p>
            <w:pPr>
              <w:spacing w:after="0" w:line="264" w:lineRule="auto"/>
              <w:jc w:val="center"/>
            </w:pPr>
            <w:r>
              <w:rPr>
                <w:rFonts w:ascii="Calibri" w:hAnsi="Calibri" w:eastAsia="Calibri"/>
                <w:b w:val="0"/>
                <w:i w:val="0"/>
                <w:color w:val="1E293B"/>
                <w:sz w:val="17"/>
              </w:rPr>
              <w:t>1</w:t>
            </w:r>
          </w:p>
        </w:tc>
        <w:tc>
          <w:tcPr>
            <w:tcW w:type="dxa" w:w="2600"/>
          </w:tcPr>
          <w:p>
            <w:pPr>
              <w:spacing w:after="0" w:line="264" w:lineRule="auto"/>
            </w:pPr>
            <w:r>
              <w:rPr>
                <w:rFonts w:ascii="Calibri" w:hAnsi="Calibri" w:eastAsia="Calibri"/>
                <w:b w:val="0"/>
                <w:i w:val="0"/>
                <w:color w:val="1E293B"/>
                <w:sz w:val="17"/>
              </w:rPr>
              <w:t>Slide 17 - tài liệu môn học</w:t>
            </w:r>
          </w:p>
        </w:tc>
        <w:tc>
          <w:tcPr>
            <w:tcW w:type="dxa" w:w="4400"/>
          </w:tcPr>
          <w:p>
            <w:pPr>
              <w:spacing w:after="0" w:line="264" w:lineRule="auto"/>
            </w:pPr>
            <w:r>
              <w:rPr>
                <w:rFonts w:ascii="Calibri" w:hAnsi="Calibri" w:eastAsia="Calibri"/>
                <w:b w:val="0"/>
                <w:i w:val="0"/>
                <w:color w:val="1E293B"/>
                <w:sz w:val="17"/>
              </w:rPr>
              <w:t>Xác định 5 lớp năng lực; chọn lớp (4) và (5)</w:t>
            </w:r>
          </w:p>
        </w:tc>
        <w:tc>
          <w:tcPr>
            <w:tcW w:type="dxa" w:w="1760"/>
          </w:tcPr>
          <w:p>
            <w:pPr>
              <w:spacing w:after="0" w:line="264" w:lineRule="auto"/>
            </w:pPr>
            <w:r>
              <w:rPr>
                <w:rFonts w:ascii="Calibri" w:hAnsi="Calibri" w:eastAsia="Calibri"/>
                <w:b w:val="0"/>
                <w:i w:val="0"/>
                <w:color w:val="1E293B"/>
                <w:sz w:val="17"/>
              </w:rPr>
              <w:t>Tài liệu học thuật</w:t>
            </w:r>
          </w:p>
        </w:tc>
      </w:tr>
      <w:tr>
        <w:tc>
          <w:tcPr>
            <w:tcW w:type="dxa" w:w="600"/>
          </w:tcPr>
          <w:p>
            <w:pPr>
              <w:spacing w:after="0" w:line="264" w:lineRule="auto"/>
              <w:jc w:val="center"/>
            </w:pPr>
            <w:r>
              <w:rPr>
                <w:rFonts w:ascii="Calibri" w:hAnsi="Calibri" w:eastAsia="Calibri"/>
                <w:b w:val="0"/>
                <w:i w:val="0"/>
                <w:color w:val="1E293B"/>
                <w:sz w:val="17"/>
              </w:rPr>
              <w:t>2</w:t>
            </w:r>
          </w:p>
        </w:tc>
        <w:tc>
          <w:tcPr>
            <w:tcW w:type="dxa" w:w="2600"/>
          </w:tcPr>
          <w:p>
            <w:pPr>
              <w:spacing w:after="0" w:line="264" w:lineRule="auto"/>
            </w:pPr>
            <w:r>
              <w:rPr>
                <w:rFonts w:ascii="Calibri" w:hAnsi="Calibri" w:eastAsia="Calibri"/>
                <w:b w:val="0"/>
                <w:i w:val="0"/>
                <w:color w:val="1E293B"/>
                <w:sz w:val="17"/>
              </w:rPr>
              <w:t>Website Ways Station</w:t>
            </w:r>
          </w:p>
        </w:tc>
        <w:tc>
          <w:tcPr>
            <w:tcW w:type="dxa" w:w="4400"/>
          </w:tcPr>
          <w:p>
            <w:pPr>
              <w:spacing w:after="0" w:line="264" w:lineRule="auto"/>
            </w:pPr>
            <w:r>
              <w:rPr>
                <w:rFonts w:ascii="Calibri" w:hAnsi="Calibri" w:eastAsia="Calibri"/>
                <w:b w:val="0"/>
                <w:i w:val="0"/>
                <w:color w:val="1E293B"/>
                <w:sz w:val="17"/>
              </w:rPr>
              <w:t>Lĩnh vực, dịch vụ, hotline và kênh chính thức</w:t>
            </w:r>
          </w:p>
        </w:tc>
        <w:tc>
          <w:tcPr>
            <w:tcW w:type="dxa" w:w="1760"/>
          </w:tcPr>
          <w:p>
            <w:pPr>
              <w:spacing w:after="0" w:line="264" w:lineRule="auto"/>
            </w:pPr>
            <w:r>
              <w:rPr>
                <w:rFonts w:ascii="Calibri" w:hAnsi="Calibri" w:eastAsia="Calibri"/>
                <w:b w:val="0"/>
                <w:i w:val="0"/>
                <w:color w:val="1E293B"/>
                <w:sz w:val="17"/>
              </w:rPr>
              <w:t>Chính thức</w:t>
            </w:r>
          </w:p>
        </w:tc>
      </w:tr>
      <w:tr>
        <w:tc>
          <w:tcPr>
            <w:tcW w:type="dxa" w:w="600"/>
          </w:tcPr>
          <w:p>
            <w:pPr>
              <w:spacing w:after="0" w:line="264" w:lineRule="auto"/>
              <w:jc w:val="center"/>
            </w:pPr>
            <w:r>
              <w:rPr>
                <w:rFonts w:ascii="Calibri" w:hAnsi="Calibri" w:eastAsia="Calibri"/>
                <w:b w:val="0"/>
                <w:i w:val="0"/>
                <w:color w:val="1E293B"/>
                <w:sz w:val="17"/>
              </w:rPr>
              <w:t>3</w:t>
            </w:r>
          </w:p>
        </w:tc>
        <w:tc>
          <w:tcPr>
            <w:tcW w:type="dxa" w:w="2600"/>
          </w:tcPr>
          <w:p>
            <w:pPr>
              <w:spacing w:after="0" w:line="264" w:lineRule="auto"/>
            </w:pPr>
            <w:r>
              <w:rPr>
                <w:rFonts w:ascii="Calibri" w:hAnsi="Calibri" w:eastAsia="Calibri"/>
                <w:b w:val="0"/>
                <w:i w:val="0"/>
                <w:color w:val="1E293B"/>
                <w:sz w:val="17"/>
              </w:rPr>
              <w:t>Danh sách địa chỉ và bảng giá</w:t>
            </w:r>
          </w:p>
        </w:tc>
        <w:tc>
          <w:tcPr>
            <w:tcW w:type="dxa" w:w="4400"/>
          </w:tcPr>
          <w:p>
            <w:pPr>
              <w:spacing w:after="0" w:line="264" w:lineRule="auto"/>
            </w:pPr>
            <w:r>
              <w:rPr>
                <w:rFonts w:ascii="Calibri" w:hAnsi="Calibri" w:eastAsia="Calibri"/>
                <w:b w:val="0"/>
                <w:i w:val="0"/>
                <w:color w:val="1E293B"/>
                <w:sz w:val="17"/>
              </w:rPr>
              <w:t>Địa bàn, chi nhánh, dịch vụ và giá</w:t>
            </w:r>
          </w:p>
        </w:tc>
        <w:tc>
          <w:tcPr>
            <w:tcW w:type="dxa" w:w="1760"/>
          </w:tcPr>
          <w:p>
            <w:pPr>
              <w:spacing w:after="0" w:line="264" w:lineRule="auto"/>
            </w:pPr>
            <w:r>
              <w:rPr>
                <w:rFonts w:ascii="Calibri" w:hAnsi="Calibri" w:eastAsia="Calibri"/>
                <w:b w:val="0"/>
                <w:i w:val="0"/>
                <w:color w:val="1E293B"/>
                <w:sz w:val="17"/>
              </w:rPr>
              <w:t>Chính thức</w:t>
            </w:r>
          </w:p>
        </w:tc>
      </w:tr>
      <w:tr>
        <w:tc>
          <w:tcPr>
            <w:tcW w:type="dxa" w:w="600"/>
          </w:tcPr>
          <w:p>
            <w:pPr>
              <w:spacing w:after="0" w:line="264" w:lineRule="auto"/>
              <w:jc w:val="center"/>
            </w:pPr>
            <w:r>
              <w:rPr>
                <w:rFonts w:ascii="Calibri" w:hAnsi="Calibri" w:eastAsia="Calibri"/>
                <w:b w:val="0"/>
                <w:i w:val="0"/>
                <w:color w:val="1E293B"/>
                <w:sz w:val="17"/>
              </w:rPr>
              <w:t>4</w:t>
            </w:r>
          </w:p>
        </w:tc>
        <w:tc>
          <w:tcPr>
            <w:tcW w:type="dxa" w:w="2600"/>
          </w:tcPr>
          <w:p>
            <w:pPr>
              <w:spacing w:after="0" w:line="264" w:lineRule="auto"/>
            </w:pPr>
            <w:r>
              <w:rPr>
                <w:rFonts w:ascii="Calibri" w:hAnsi="Calibri" w:eastAsia="Calibri"/>
                <w:b w:val="0"/>
                <w:i w:val="0"/>
                <w:color w:val="1E293B"/>
                <w:sz w:val="17"/>
              </w:rPr>
              <w:t>Trang tuyển dụng Ways Station</w:t>
            </w:r>
          </w:p>
        </w:tc>
        <w:tc>
          <w:tcPr>
            <w:tcW w:type="dxa" w:w="4400"/>
          </w:tcPr>
          <w:p>
            <w:pPr>
              <w:spacing w:after="0" w:line="264" w:lineRule="auto"/>
            </w:pPr>
            <w:r>
              <w:rPr>
                <w:rFonts w:ascii="Calibri" w:hAnsi="Calibri" w:eastAsia="Calibri"/>
                <w:b w:val="0"/>
                <w:i w:val="0"/>
                <w:color w:val="1E293B"/>
                <w:sz w:val="17"/>
              </w:rPr>
              <w:t>Vị trí công việc, giao ca, báo cáo, kiểm kê và đào tạo</w:t>
            </w:r>
          </w:p>
        </w:tc>
        <w:tc>
          <w:tcPr>
            <w:tcW w:type="dxa" w:w="1760"/>
          </w:tcPr>
          <w:p>
            <w:pPr>
              <w:spacing w:after="0" w:line="264" w:lineRule="auto"/>
            </w:pPr>
            <w:r>
              <w:rPr>
                <w:rFonts w:ascii="Calibri" w:hAnsi="Calibri" w:eastAsia="Calibri"/>
                <w:b w:val="0"/>
                <w:i w:val="0"/>
                <w:color w:val="1E293B"/>
                <w:sz w:val="17"/>
              </w:rPr>
              <w:t>Chính thức</w:t>
            </w:r>
          </w:p>
        </w:tc>
      </w:tr>
      <w:tr>
        <w:tc>
          <w:tcPr>
            <w:tcW w:type="dxa" w:w="600"/>
          </w:tcPr>
          <w:p>
            <w:pPr>
              <w:spacing w:after="0" w:line="264" w:lineRule="auto"/>
              <w:jc w:val="center"/>
            </w:pPr>
            <w:r>
              <w:rPr>
                <w:rFonts w:ascii="Calibri" w:hAnsi="Calibri" w:eastAsia="Calibri"/>
                <w:b w:val="0"/>
                <w:i w:val="0"/>
                <w:color w:val="1E293B"/>
                <w:sz w:val="17"/>
              </w:rPr>
              <w:t>5</w:t>
            </w:r>
          </w:p>
        </w:tc>
        <w:tc>
          <w:tcPr>
            <w:tcW w:type="dxa" w:w="2600"/>
          </w:tcPr>
          <w:p>
            <w:pPr>
              <w:spacing w:after="0" w:line="264" w:lineRule="auto"/>
            </w:pPr>
            <w:r>
              <w:rPr>
                <w:rFonts w:ascii="Calibri" w:hAnsi="Calibri" w:eastAsia="Calibri"/>
                <w:b w:val="0"/>
                <w:i w:val="0"/>
                <w:color w:val="1E293B"/>
                <w:sz w:val="17"/>
              </w:rPr>
              <w:t>Trang 38+ chi nhánh</w:t>
            </w:r>
          </w:p>
        </w:tc>
        <w:tc>
          <w:tcPr>
            <w:tcW w:type="dxa" w:w="4400"/>
          </w:tcPr>
          <w:p>
            <w:pPr>
              <w:spacing w:after="0" w:line="264" w:lineRule="auto"/>
            </w:pPr>
            <w:r>
              <w:rPr>
                <w:rFonts w:ascii="Calibri" w:hAnsi="Calibri" w:eastAsia="Calibri"/>
                <w:b w:val="0"/>
                <w:i w:val="0"/>
                <w:color w:val="1E293B"/>
                <w:sz w:val="17"/>
              </w:rPr>
              <w:t>Quy mô, phạm vi 12 quận và địa chỉ văn phòng</w:t>
            </w:r>
          </w:p>
        </w:tc>
        <w:tc>
          <w:tcPr>
            <w:tcW w:type="dxa" w:w="1760"/>
          </w:tcPr>
          <w:p>
            <w:pPr>
              <w:spacing w:after="0" w:line="264" w:lineRule="auto"/>
            </w:pPr>
            <w:r>
              <w:rPr>
                <w:rFonts w:ascii="Calibri" w:hAnsi="Calibri" w:eastAsia="Calibri"/>
                <w:b w:val="0"/>
                <w:i w:val="0"/>
                <w:color w:val="1E293B"/>
                <w:sz w:val="17"/>
              </w:rPr>
              <w:t>Chính thức</w:t>
            </w:r>
          </w:p>
        </w:tc>
      </w:tr>
      <w:tr>
        <w:tc>
          <w:tcPr>
            <w:tcW w:type="dxa" w:w="600"/>
          </w:tcPr>
          <w:p>
            <w:pPr>
              <w:spacing w:after="0" w:line="264" w:lineRule="auto"/>
              <w:jc w:val="center"/>
            </w:pPr>
            <w:r>
              <w:rPr>
                <w:rFonts w:ascii="Calibri" w:hAnsi="Calibri" w:eastAsia="Calibri"/>
                <w:b w:val="0"/>
                <w:i w:val="0"/>
                <w:color w:val="1E293B"/>
                <w:sz w:val="17"/>
              </w:rPr>
              <w:t>6</w:t>
            </w:r>
          </w:p>
        </w:tc>
        <w:tc>
          <w:tcPr>
            <w:tcW w:type="dxa" w:w="2600"/>
          </w:tcPr>
          <w:p>
            <w:pPr>
              <w:spacing w:after="0" w:line="264" w:lineRule="auto"/>
            </w:pPr>
            <w:r>
              <w:rPr>
                <w:rFonts w:ascii="Calibri" w:hAnsi="Calibri" w:eastAsia="Calibri"/>
                <w:b w:val="0"/>
                <w:i w:val="0"/>
                <w:color w:val="1E293B"/>
                <w:sz w:val="17"/>
              </w:rPr>
              <w:t>Ways Station Hub</w:t>
            </w:r>
          </w:p>
        </w:tc>
        <w:tc>
          <w:tcPr>
            <w:tcW w:type="dxa" w:w="4400"/>
          </w:tcPr>
          <w:p>
            <w:pPr>
              <w:spacing w:after="0" w:line="264" w:lineRule="auto"/>
            </w:pPr>
            <w:r>
              <w:rPr>
                <w:rFonts w:ascii="Calibri" w:hAnsi="Calibri" w:eastAsia="Calibri"/>
                <w:b w:val="0"/>
                <w:i w:val="0"/>
                <w:color w:val="1E293B"/>
                <w:sz w:val="17"/>
              </w:rPr>
              <w:t>Mô hình Hub, địa điểm, giá và quy trình đặt/mua</w:t>
            </w:r>
          </w:p>
        </w:tc>
        <w:tc>
          <w:tcPr>
            <w:tcW w:type="dxa" w:w="1760"/>
          </w:tcPr>
          <w:p>
            <w:pPr>
              <w:spacing w:after="0" w:line="264" w:lineRule="auto"/>
            </w:pPr>
            <w:r>
              <w:rPr>
                <w:rFonts w:ascii="Calibri" w:hAnsi="Calibri" w:eastAsia="Calibri"/>
                <w:b w:val="0"/>
                <w:i w:val="0"/>
                <w:color w:val="1E293B"/>
                <w:sz w:val="17"/>
              </w:rPr>
              <w:t>Chính thức</w:t>
            </w:r>
          </w:p>
        </w:tc>
      </w:tr>
      <w:tr>
        <w:tc>
          <w:tcPr>
            <w:tcW w:type="dxa" w:w="600"/>
          </w:tcPr>
          <w:p>
            <w:pPr>
              <w:spacing w:after="0" w:line="264" w:lineRule="auto"/>
              <w:jc w:val="center"/>
            </w:pPr>
            <w:r>
              <w:rPr>
                <w:rFonts w:ascii="Calibri" w:hAnsi="Calibri" w:eastAsia="Calibri"/>
                <w:b w:val="0"/>
                <w:i w:val="0"/>
                <w:color w:val="1E293B"/>
                <w:sz w:val="17"/>
              </w:rPr>
              <w:t>7</w:t>
            </w:r>
          </w:p>
        </w:tc>
        <w:tc>
          <w:tcPr>
            <w:tcW w:type="dxa" w:w="2600"/>
          </w:tcPr>
          <w:p>
            <w:pPr>
              <w:spacing w:after="0" w:line="264" w:lineRule="auto"/>
            </w:pPr>
            <w:r>
              <w:rPr>
                <w:rFonts w:ascii="Calibri" w:hAnsi="Calibri" w:eastAsia="Calibri"/>
                <w:b w:val="0"/>
                <w:i w:val="0"/>
                <w:color w:val="1E293B"/>
                <w:sz w:val="17"/>
              </w:rPr>
              <w:t>LinkedIn Ways Station</w:t>
            </w:r>
          </w:p>
        </w:tc>
        <w:tc>
          <w:tcPr>
            <w:tcW w:type="dxa" w:w="4400"/>
          </w:tcPr>
          <w:p>
            <w:pPr>
              <w:spacing w:after="0" w:line="264" w:lineRule="auto"/>
            </w:pPr>
            <w:r>
              <w:rPr>
                <w:rFonts w:ascii="Calibri" w:hAnsi="Calibri" w:eastAsia="Calibri"/>
                <w:b w:val="0"/>
                <w:i w:val="0"/>
                <w:color w:val="1E293B"/>
                <w:sz w:val="17"/>
              </w:rPr>
              <w:t>Năm thành lập, quy mô nhân sự và trụ sở</w:t>
            </w:r>
          </w:p>
        </w:tc>
        <w:tc>
          <w:tcPr>
            <w:tcW w:type="dxa" w:w="1760"/>
          </w:tcPr>
          <w:p>
            <w:pPr>
              <w:spacing w:after="0" w:line="264" w:lineRule="auto"/>
            </w:pPr>
            <w:r>
              <w:rPr>
                <w:rFonts w:ascii="Calibri" w:hAnsi="Calibri" w:eastAsia="Calibri"/>
                <w:b w:val="0"/>
                <w:i w:val="0"/>
                <w:color w:val="1E293B"/>
                <w:sz w:val="17"/>
              </w:rPr>
              <w:t>Tham khảo</w:t>
            </w:r>
          </w:p>
        </w:tc>
      </w:tr>
      <w:tr>
        <w:tc>
          <w:tcPr>
            <w:tcW w:type="dxa" w:w="600"/>
          </w:tcPr>
          <w:p>
            <w:pPr>
              <w:spacing w:after="0" w:line="264" w:lineRule="auto"/>
              <w:jc w:val="center"/>
            </w:pPr>
            <w:r>
              <w:rPr>
                <w:rFonts w:ascii="Calibri" w:hAnsi="Calibri" w:eastAsia="Calibri"/>
                <w:b w:val="0"/>
                <w:i w:val="0"/>
                <w:color w:val="1E293B"/>
                <w:sz w:val="17"/>
              </w:rPr>
              <w:t>8</w:t>
            </w:r>
          </w:p>
        </w:tc>
        <w:tc>
          <w:tcPr>
            <w:tcW w:type="dxa" w:w="2600"/>
          </w:tcPr>
          <w:p>
            <w:pPr>
              <w:spacing w:after="0" w:line="264" w:lineRule="auto"/>
            </w:pPr>
            <w:r>
              <w:rPr>
                <w:rFonts w:ascii="Calibri" w:hAnsi="Calibri" w:eastAsia="Calibri"/>
                <w:b w:val="0"/>
                <w:i w:val="0"/>
                <w:color w:val="1E293B"/>
                <w:sz w:val="17"/>
              </w:rPr>
              <w:t>YouTube Ways Station</w:t>
            </w:r>
          </w:p>
        </w:tc>
        <w:tc>
          <w:tcPr>
            <w:tcW w:type="dxa" w:w="4400"/>
          </w:tcPr>
          <w:p>
            <w:pPr>
              <w:spacing w:after="0" w:line="264" w:lineRule="auto"/>
            </w:pPr>
            <w:r>
              <w:rPr>
                <w:rFonts w:ascii="Calibri" w:hAnsi="Calibri" w:eastAsia="Calibri"/>
                <w:b w:val="0"/>
                <w:i w:val="0"/>
                <w:color w:val="1E293B"/>
                <w:sz w:val="17"/>
              </w:rPr>
              <w:t>Hình ảnh dịch vụ và cơ sở vật chất</w:t>
            </w:r>
          </w:p>
        </w:tc>
        <w:tc>
          <w:tcPr>
            <w:tcW w:type="dxa" w:w="1760"/>
          </w:tcPr>
          <w:p>
            <w:pPr>
              <w:spacing w:after="0" w:line="264" w:lineRule="auto"/>
            </w:pPr>
            <w:r>
              <w:rPr>
                <w:rFonts w:ascii="Calibri" w:hAnsi="Calibri" w:eastAsia="Calibri"/>
                <w:b w:val="0"/>
                <w:i w:val="0"/>
                <w:color w:val="1E293B"/>
                <w:sz w:val="17"/>
              </w:rPr>
              <w:t>Truyền thông</w:t>
            </w:r>
          </w:p>
        </w:tc>
      </w:tr>
      <w:tr>
        <w:tc>
          <w:tcPr>
            <w:tcW w:type="dxa" w:w="600"/>
          </w:tcPr>
          <w:p>
            <w:pPr>
              <w:spacing w:after="0" w:line="264" w:lineRule="auto"/>
              <w:jc w:val="center"/>
            </w:pPr>
            <w:r>
              <w:rPr>
                <w:rFonts w:ascii="Calibri" w:hAnsi="Calibri" w:eastAsia="Calibri"/>
                <w:b w:val="0"/>
                <w:i w:val="0"/>
                <w:color w:val="1E293B"/>
                <w:sz w:val="17"/>
              </w:rPr>
              <w:t>9</w:t>
            </w:r>
          </w:p>
        </w:tc>
        <w:tc>
          <w:tcPr>
            <w:tcW w:type="dxa" w:w="2600"/>
          </w:tcPr>
          <w:p>
            <w:pPr>
              <w:spacing w:after="0" w:line="264" w:lineRule="auto"/>
            </w:pPr>
            <w:r>
              <w:rPr>
                <w:rFonts w:ascii="Calibri" w:hAnsi="Calibri" w:eastAsia="Calibri"/>
                <w:b w:val="0"/>
                <w:i w:val="0"/>
                <w:color w:val="1E293B"/>
                <w:sz w:val="17"/>
              </w:rPr>
              <w:t>Trustindex</w:t>
            </w:r>
          </w:p>
        </w:tc>
        <w:tc>
          <w:tcPr>
            <w:tcW w:type="dxa" w:w="4400"/>
          </w:tcPr>
          <w:p>
            <w:pPr>
              <w:spacing w:after="0" w:line="264" w:lineRule="auto"/>
            </w:pPr>
            <w:r>
              <w:rPr>
                <w:rFonts w:ascii="Calibri" w:hAnsi="Calibri" w:eastAsia="Calibri"/>
                <w:b w:val="0"/>
                <w:i w:val="0"/>
                <w:color w:val="1E293B"/>
                <w:sz w:val="17"/>
              </w:rPr>
              <w:t>Ý kiến và phản ánh của khách hàng</w:t>
            </w:r>
          </w:p>
        </w:tc>
        <w:tc>
          <w:tcPr>
            <w:tcW w:type="dxa" w:w="1760"/>
          </w:tcPr>
          <w:p>
            <w:pPr>
              <w:spacing w:after="0" w:line="264" w:lineRule="auto"/>
            </w:pPr>
            <w:r>
              <w:rPr>
                <w:rFonts w:ascii="Calibri" w:hAnsi="Calibri" w:eastAsia="Calibri"/>
                <w:b w:val="0"/>
                <w:i w:val="0"/>
                <w:color w:val="1E293B"/>
                <w:sz w:val="17"/>
              </w:rPr>
              <w:t>Nguồn thứ cấp</w:t>
            </w:r>
          </w:p>
        </w:tc>
      </w:tr>
    </w:tbl>
    <w:p>
      <w:pPr>
        <w:pStyle w:val="Heading2"/>
        <w:keepNext/>
        <w:widowControl/>
      </w:pPr>
      <w:r>
        <w:t>Liên kết nguồn công khai</w:t>
      </w:r>
    </w:p>
    <w:p>
      <w:pPr>
        <w:pStyle w:val="ListBullet"/>
        <w:widowControl/>
        <w:spacing w:after="40"/>
        <w:ind w:left="720" w:hanging="360"/>
      </w:pPr>
      <w:hyperlink r:id="rId11">
        <w:r>
          <w:rPr>
            <w:rFonts w:ascii="Calibri" w:hAnsi="Calibri"/>
            <w:color w:val="2E74B5"/>
            <w:u w:val="single"/>
          </w:rPr>
          <w:t>Website Ways Station</w:t>
        </w:r>
      </w:hyperlink>
    </w:p>
    <w:p>
      <w:pPr>
        <w:pStyle w:val="ListBullet"/>
        <w:widowControl/>
        <w:spacing w:after="40"/>
        <w:ind w:left="720" w:hanging="360"/>
      </w:pPr>
      <w:hyperlink r:id="rId12">
        <w:r>
          <w:rPr>
            <w:rFonts w:ascii="Calibri" w:hAnsi="Calibri"/>
            <w:color w:val="2E74B5"/>
            <w:u w:val="single"/>
          </w:rPr>
          <w:t>Danh sách địa chỉ</w:t>
        </w:r>
      </w:hyperlink>
    </w:p>
    <w:p>
      <w:pPr>
        <w:pStyle w:val="ListBullet"/>
        <w:widowControl/>
        <w:spacing w:after="40"/>
        <w:ind w:left="720" w:hanging="360"/>
      </w:pPr>
      <w:hyperlink r:id="rId13">
        <w:r>
          <w:rPr>
            <w:rFonts w:ascii="Calibri" w:hAnsi="Calibri"/>
            <w:color w:val="2E74B5"/>
            <w:u w:val="single"/>
          </w:rPr>
          <w:t>Trang tuyển dụng</w:t>
        </w:r>
      </w:hyperlink>
    </w:p>
    <w:p>
      <w:pPr>
        <w:pStyle w:val="ListBullet"/>
        <w:widowControl/>
        <w:spacing w:after="40"/>
        <w:ind w:left="720" w:hanging="360"/>
      </w:pPr>
      <w:hyperlink r:id="rId14">
        <w:r>
          <w:rPr>
            <w:rFonts w:ascii="Calibri" w:hAnsi="Calibri"/>
            <w:color w:val="2E74B5"/>
            <w:u w:val="single"/>
          </w:rPr>
          <w:t>Trang quy mô 38+ chi nhánh</w:t>
        </w:r>
      </w:hyperlink>
    </w:p>
    <w:p>
      <w:pPr>
        <w:pStyle w:val="ListBullet"/>
        <w:widowControl/>
        <w:spacing w:after="40"/>
        <w:ind w:left="720" w:hanging="360"/>
      </w:pPr>
      <w:hyperlink r:id="rId15">
        <w:r>
          <w:rPr>
            <w:rFonts w:ascii="Calibri" w:hAnsi="Calibri"/>
            <w:color w:val="2E74B5"/>
            <w:u w:val="single"/>
          </w:rPr>
          <w:t>Ways Station Hub</w:t>
        </w:r>
      </w:hyperlink>
    </w:p>
    <w:p>
      <w:pPr>
        <w:pStyle w:val="ListBullet"/>
        <w:widowControl/>
        <w:spacing w:after="40"/>
        <w:ind w:left="720" w:hanging="360"/>
      </w:pPr>
      <w:hyperlink r:id="rId16">
        <w:r>
          <w:rPr>
            <w:rFonts w:ascii="Calibri" w:hAnsi="Calibri"/>
            <w:color w:val="2E74B5"/>
            <w:u w:val="single"/>
          </w:rPr>
          <w:t>LinkedIn Ways Station</w:t>
        </w:r>
      </w:hyperlink>
    </w:p>
    <w:p>
      <w:pPr>
        <w:pStyle w:val="ListBullet"/>
        <w:widowControl/>
        <w:spacing w:after="40"/>
        <w:ind w:left="720" w:hanging="360"/>
      </w:pPr>
      <w:hyperlink r:id="rId17">
        <w:r>
          <w:rPr>
            <w:rFonts w:ascii="Calibri" w:hAnsi="Calibri"/>
            <w:color w:val="2E74B5"/>
            <w:u w:val="single"/>
          </w:rPr>
          <w:t>YouTube Ways Station</w:t>
        </w:r>
      </w:hyperlink>
    </w:p>
    <w:p>
      <w:pPr>
        <w:pStyle w:val="ListBullet"/>
        <w:widowControl/>
        <w:spacing w:after="40"/>
        <w:ind w:left="720" w:hanging="360"/>
      </w:pPr>
      <w:hyperlink r:id="rId18">
        <w:r>
          <w:rPr>
            <w:rFonts w:ascii="Calibri" w:hAnsi="Calibri"/>
            <w:color w:val="2E74B5"/>
            <w:u w:val="single"/>
          </w:rPr>
          <w:t>Trustindex</w:t>
        </w:r>
      </w:hyperlink>
    </w:p>
    <w:p>
      <w:pPr>
        <w:pStyle w:val="Heading1"/>
        <w:keepNext/>
        <w:widowControl/>
      </w:pPr>
      <w:r>
        <w:t>6. KẾT LUẬN</w:t>
      </w:r>
    </w:p>
    <w:p>
      <w:pPr>
        <w:widowControl/>
        <w:spacing w:before="0" w:after="160" w:line="300" w:lineRule="auto"/>
        <w:jc w:val="both"/>
      </w:pPr>
      <w:r>
        <w:rPr>
          <w:rFonts w:ascii="Calibri" w:hAnsi="Calibri" w:eastAsia="Calibri"/>
          <w:b w:val="0"/>
          <w:i w:val="0"/>
          <w:color w:val="1E293B"/>
          <w:sz w:val="22"/>
        </w:rPr>
        <w:t>Với giả định các lớp (1), (2) và (3) đã được đánh giá và đáp ứng điều kiện nền, đồ án tập trung đầu tư lớp (4) và lớp (5) để liên thông quy trình và chuẩn hóa dữ liệu vận hành. Bước tiếp theo là khảo sát thực tế để xác minh các giả thuyết và hoàn thiện yêu cầu trước khi thiết kế giải pháp chi tiết.</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eastAsia="Calibri"/>
        <w:b w:val="0"/>
        <w:i w:val="0"/>
        <w:color w:val="64748B"/>
        <w:sz w:val="18"/>
      </w:rPr>
      <w:t xml:space="preserve">Trang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
      <w:rPr>
        <w:rFonts w:ascii="Calibri" w:hAnsi="Calibri" w:eastAsia="Calibri"/>
        <w:b/>
        <w:i w:val="0"/>
        <w:color w:val="64748B"/>
        <w:sz w:val="17"/>
      </w:rPr>
      <w:t>BÁO CÁO BƯỚC 0 | WAYS STATION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720"/>
        </w:tabs>
        <w:ind w:left="720" w:hanging="360"/>
      </w:pPr>
    </w:lvl>
  </w:abstractNum>
  <w:abstractNum w:abstractNumId="8">
    <w:nsid w:val="FFFFFF89"/>
    <w:multiLevelType w:val="singleLevel"/>
    <w:tmpl w:val="29761A62"/>
    <w:lvl w:ilvl="0">
      <w:start w:val="1"/>
      <w:numFmt w:val="bullet"/>
      <w:pStyle w:val="ListBullet"/>
      <w:lvlText w:val="•"/>
      <w:lvlJc w:val="left"/>
      <w:pPr>
        <w:tabs>
          <w:tab w:val="num" w:pos="720"/>
        </w:tabs>
        <w:ind w:left="720" w:hanging="360"/>
      </w:pPr>
      <w:rPr>
        <w:rFonts w:ascii="Calibri" w:hAnsi="Calibri"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auto"/>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8" w:lineRule="auto"/>
      <w:contextualSpacing/>
    </w:pPr>
    <w:rPr>
      <w:rFonts w:ascii="Calibri" w:hAnsi="Calibri"/>
      <w:sz w:val="22"/>
    </w:rPr>
  </w:style>
  <w:style w:type="paragraph" w:styleId="ListBullet2">
    <w:name w:val="List Bullet 2"/>
    <w:basedOn w:val="Normal"/>
    <w:uiPriority w:val="99"/>
    <w:unhideWhenUsed/>
    <w:rsid w:val="00326F90"/>
    <w:pPr>
      <w:numPr>
        <w:numId w:val="2"/>
      </w:numPr>
      <w:spacing w:after="80" w:line="288" w:lineRule="auto"/>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8" w:lineRule="auto"/>
      <w:contextualSpacing/>
    </w:pPr>
    <w:rPr>
      <w:rFonts w:ascii="Calibri" w:hAnsi="Calibri"/>
      <w:sz w:val="22"/>
    </w:rPr>
  </w:style>
  <w:style w:type="paragraph" w:styleId="ListNumber2">
    <w:name w:val="List Number 2"/>
    <w:basedOn w:val="Normal"/>
    <w:uiPriority w:val="99"/>
    <w:unhideWhenUsed/>
    <w:rsid w:val="0029639D"/>
    <w:pPr>
      <w:numPr>
        <w:numId w:val="6"/>
      </w:numPr>
      <w:spacing w:after="80" w:line="288" w:lineRule="auto"/>
      <w:contextualSpacing/>
    </w:pPr>
    <w:rPr>
      <w:rFonts w:ascii="Calibri" w:hAnsi="Calibri"/>
      <w:sz w:val="22"/>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before="80" w:after="80"/>
    </w:pPr>
    <w:rPr>
      <w:rFonts w:ascii="Calibri" w:hAnsi="Calibri"/>
      <w:i/>
      <w:color w:val="64748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waysstation.vn/" TargetMode="External"/><Relationship Id="rId12" Type="http://schemas.openxmlformats.org/officeDocument/2006/relationships/hyperlink" Target="https://diachi.waysstation.vn/" TargetMode="External"/><Relationship Id="rId13" Type="http://schemas.openxmlformats.org/officeDocument/2006/relationships/hyperlink" Target="https://diachi.ways.vn/tuyendung" TargetMode="External"/><Relationship Id="rId14" Type="http://schemas.openxmlformats.org/officeDocument/2006/relationships/hyperlink" Target="https://diachi.ways.vn/tdz" TargetMode="External"/><Relationship Id="rId15" Type="http://schemas.openxmlformats.org/officeDocument/2006/relationships/hyperlink" Target="https://hub.waysstation.vn/" TargetMode="External"/><Relationship Id="rId16" Type="http://schemas.openxmlformats.org/officeDocument/2006/relationships/hyperlink" Target="https://vn.linkedin.com/company/waysstation" TargetMode="External"/><Relationship Id="rId17" Type="http://schemas.openxmlformats.org/officeDocument/2006/relationships/hyperlink" Target="https://www.youtube.com/channel/UCOxaJjBYc2Ob16qh8UntPwA" TargetMode="External"/><Relationship Id="rId18" Type="http://schemas.openxmlformats.org/officeDocument/2006/relationships/hyperlink" Target="https://www.trustindex.io/reviews/waysstation.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Bước 0 - Ways Station</dc:title>
  <dc:subject>Khảo sát doanh nghiệp và tóm tắt phạm vi dự án cho lớp năng lực (4), (5)</dc:subject>
  <dc:creator>Nhóm thực hiện đồ án</dc:creator>
  <cp:keywords>Ways Station, ứng dụng và tích hợp, nền tảng dữ liệu, project scope</cp:keywords>
  <dc:description>generated by python-docx</dc:description>
  <cp:lastModifiedBy/>
  <cp:revision>1</cp:revision>
  <dcterms:created xsi:type="dcterms:W3CDTF">2013-12-23T23:15:00Z</dcterms:created>
  <dcterms:modified xsi:type="dcterms:W3CDTF">2013-12-23T23:15:00Z</dcterms:modified>
  <cp:category/>
</cp:coreProperties>
</file>