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eliverable-1-company-situation-map"/>
      <w:r>
        <w:t xml:space="preserve">DELIVERABLE 1: COMPANY SITUATION MAP</w:t>
      </w:r>
      <w:bookmarkEnd w:id="20"/>
    </w:p>
    <w:p>
      <w:pPr>
        <w:pStyle w:val="Heading2"/>
      </w:pPr>
      <w:bookmarkStart w:id="21" w:name="what-lunar-energy-is"/>
      <w:r>
        <w:t xml:space="preserve">What Lunar Energy IS</w:t>
      </w:r>
      <w:bookmarkEnd w:id="21"/>
    </w:p>
    <w:p>
      <w:pPr>
        <w:pStyle w:val="FirstParagraph"/>
      </w:pPr>
      <w:r>
        <w:t xml:space="preserve">Lunar Energy is a venture-backed residential battery storage company that is simultaneously two businesses operating under one roof—and the market is pricing it as the wrong one.</w:t>
      </w:r>
    </w:p>
    <w:p>
      <w:pPr>
        <w:pStyle w:val="BodyText"/>
      </w:pPr>
      <w:r>
        <w:rPr>
          <w:b/>
        </w:rPr>
        <w:t xml:space="preserve">The Hardware Business</w:t>
      </w:r>
      <w:r>
        <w:t xml:space="preserve"> </w:t>
      </w:r>
      <w:r>
        <w:t xml:space="preserve">(~$35M revenue, ~2,000 units deployed): Lunar designs, assembles, and sells an integrated home energy system comprising a modular LFP battery (10–30 kWh in 5 kWh blocks), a 9.6 kW hybrid DC-coupled inverter, a</w:t>
      </w:r>
      <w:r>
        <w:t xml:space="preserve"> </w:t>
      </w:r>
      <w:r>
        <w:t xml:space="preserve">“</w:t>
      </w:r>
      <w:r>
        <w:t xml:space="preserve">Bridge</w:t>
      </w:r>
      <w:r>
        <w:t xml:space="preserve">”</w:t>
      </w:r>
      <w:r>
        <w:t xml:space="preserve"> </w:t>
      </w:r>
      <w:r>
        <w:t xml:space="preserve">smart electrical panel, and</w:t>
      </w:r>
      <w:r>
        <w:t xml:space="preserve"> </w:t>
      </w:r>
      <w:r>
        <w:t xml:space="preserve">“</w:t>
      </w:r>
      <w:r>
        <w:t xml:space="preserve">Maximizer</w:t>
      </w:r>
      <w:r>
        <w:t xml:space="preserve">”</w:t>
      </w:r>
      <w:r>
        <w:t xml:space="preserve"> </w:t>
      </w:r>
      <w:r>
        <w:t xml:space="preserve">panel-level solar optimizers. Assembly occurs across three sites: Suwanee, Georgia (inverter/Bridge/Maximizers), Mexico (battery module assembly—a fact quietly disclosed on the company’s website but omitted from</w:t>
      </w:r>
      <w:r>
        <w:t xml:space="preserve"> </w:t>
      </w:r>
      <w:r>
        <w:t xml:space="preserve">“</w:t>
      </w:r>
      <w:r>
        <w:t xml:space="preserve">proudly domestic content</w:t>
      </w:r>
      <w:r>
        <w:t xml:space="preserve">”</w:t>
      </w:r>
      <w:r>
        <w:t xml:space="preserve"> </w:t>
      </w:r>
      <w:r>
        <w:t xml:space="preserve">marketing), and Washington State (role undisclosed). Mountain View, California houses HQ, engineering, and pilot-line facilities at 35,000 sq ft running at roughly 20% utilization. The company claims 10,000 units/year manufacturing capacity but has deployed only ~2,000 cumulative systems, all in California, through approximately 40 certified installer partners. Hardware is sold primarily through Sunrun’s lease channel at an estimated $12,000–$16,000 wholesale ASP, carrying an approximately 10% premium to Tesla Powerwall 3 on a headline basis (though more favorable on a $/kWh basis given Lunar’s larger capacity).</w:t>
      </w:r>
    </w:p>
    <w:p>
      <w:pPr>
        <w:pStyle w:val="BodyText"/>
      </w:pPr>
      <w:r>
        <w:rPr>
          <w:b/>
        </w:rPr>
        <w:t xml:space="preserve">The Software Business</w:t>
      </w:r>
      <w:r>
        <w:t xml:space="preserve"> </w:t>
      </w:r>
      <w:r>
        <w:t xml:space="preserve">(revenue undisclosed, likely $5–15M): Gridshare is a cloud-based VPP/DERMS platform acquired via the 2022 Moixa purchase. It manages approximately 650 MW and 150,000 devices across three continents—overwhelmingly non-Lunar hardware. The platform processes 40 billion data points monthly from Japan alone and carries 150 million hours of historical optimization data. Key customers include Sunrun (managing its entire non-Tesla VPP fleet across 12+ US markets), ITOCHU/TEPCO (35,000+ homes in Japan), Peninsula Clean Energy, Ava Community Energy, and Honda UK (EV smart charging). Gridshare’s managed fleet is approximately</w:t>
      </w:r>
      <w:r>
        <w:t xml:space="preserve"> </w:t>
      </w:r>
      <w:r>
        <w:rPr>
          <w:b/>
        </w:rPr>
        <w:t xml:space="preserve">16x larger</w:t>
      </w:r>
      <w:r>
        <w:t xml:space="preserve"> </w:t>
      </w:r>
      <w:r>
        <w:t xml:space="preserve">than Lunar’s own installed hardware base. This is, by any operational measure, a software company that also makes batteries—not the reverse.</w:t>
      </w:r>
    </w:p>
    <w:p>
      <w:pPr>
        <w:pStyle w:val="BodyText"/>
      </w:pPr>
      <w:r>
        <w:rPr>
          <w:b/>
        </w:rPr>
        <w:t xml:space="preserve">Financial Position</w:t>
      </w:r>
      <w:r>
        <w:t xml:space="preserve">: $532M raised total. Estimated cash on hand mid-2026: $85–115M. Estimated net burn: $8–12M/month ($96–144M annualized). At base-case burn, runway extends to approximately January 2027—barely 11 months post-Series D close. The company is pre-profit, with estimated hardware gross margins of 15–22% at current volumes, and fully loaded manufacturing cost per unit (~$12,100 at 2,000 units) that likely exceeds or barely meets the wholesale ASP. The implied post-money valuation at Series D is approximately $900M–$1.2B against $35M in trailing revenue—a 26–34x multiple justified only by the combined hardware+software growth thesis.</w:t>
      </w:r>
    </w:p>
    <w:p>
      <w:pPr>
        <w:pStyle w:val="BodyText"/>
      </w:pPr>
      <w:r>
        <w:rPr>
          <w:b/>
        </w:rPr>
        <w:t xml:space="preserve">Physical Assets</w:t>
      </w:r>
      <w:r>
        <w:t xml:space="preserve">: Three leased assembly facilities (combined estimated 120,000–200,000 sq ft), engineering lab/prototype infrastructure in Mountain View, manufacturing equipment worth an estimated $20–50M, and the Gridshare software platform with its associated IP portfolio (58 patents, including Moixa’s 2008-vintage smart home patents cited by ~200 international companies).</w:t>
      </w:r>
    </w:p>
    <w:p>
      <w:pPr>
        <w:pStyle w:val="Heading2"/>
      </w:pPr>
      <w:bookmarkStart w:id="22" w:name="what-lunar-energy-says-its-doing"/>
      <w:r>
        <w:t xml:space="preserve">What Lunar Energy SAYS It’s Doing</w:t>
      </w:r>
      <w:bookmarkEnd w:id="22"/>
    </w:p>
    <w:p>
      <w:pPr>
        <w:pStyle w:val="FirstParagraph"/>
      </w:pPr>
      <w:r>
        <w:t xml:space="preserve">Management’s narrative rests on four pillars:</w:t>
      </w:r>
    </w:p>
    <w:p>
      <w:pPr>
        <w:numPr>
          <w:ilvl w:val="0"/>
          <w:numId w:val="1001"/>
        </w:numPr>
      </w:pPr>
      <w:r>
        <w:rPr>
          <w:b/>
        </w:rPr>
        <w:t xml:space="preserve">“</w:t>
      </w:r>
      <w:r>
        <w:rPr>
          <w:b/>
        </w:rPr>
        <w:t xml:space="preserve">Everything downstream of the solar panel</w:t>
      </w:r>
      <w:r>
        <w:rPr>
          <w:b/>
        </w:rPr>
        <w:t xml:space="preserve">”</w:t>
      </w:r>
      <w:r>
        <w:t xml:space="preserve">: CEO Girotra positions Lunar as the only company that builds its own battery hardware AND operates a device-agnostic VPP software platform. The</w:t>
      </w:r>
      <w:r>
        <w:t xml:space="preserve"> </w:t>
      </w:r>
      <w:r>
        <w:t xml:space="preserve">“</w:t>
      </w:r>
      <w:r>
        <w:t xml:space="preserve">Android of the grid</w:t>
      </w:r>
      <w:r>
        <w:t xml:space="preserve">”</w:t>
      </w:r>
      <w:r>
        <w:t xml:space="preserve"> </w:t>
      </w:r>
      <w:r>
        <w:t xml:space="preserve">analogy is deployed frequently—open software managing diverse hardware, versus Tesla’s and Enphase’s walled gardens.</w:t>
      </w:r>
    </w:p>
    <w:p>
      <w:pPr>
        <w:numPr>
          <w:ilvl w:val="0"/>
          <w:numId w:val="1001"/>
        </w:numPr>
      </w:pPr>
      <w:r>
        <w:rPr>
          <w:b/>
        </w:rPr>
        <w:t xml:space="preserve">Aggressive manufacturing scale-up</w:t>
      </w:r>
      <w:r>
        <w:t xml:space="preserve">: 10,000 units/year today → 20,000 by end 2026 → 100,000 by end 2028. This is a 50x increase from current cumulative deployments in 36 months.</w:t>
      </w:r>
    </w:p>
    <w:p>
      <w:pPr>
        <w:numPr>
          <w:ilvl w:val="0"/>
          <w:numId w:val="1001"/>
        </w:numPr>
      </w:pPr>
      <w:r>
        <w:rPr>
          <w:b/>
        </w:rPr>
        <w:t xml:space="preserve">“</w:t>
      </w:r>
      <w:r>
        <w:rPr>
          <w:b/>
        </w:rPr>
        <w:t xml:space="preserve">Never raise again</w:t>
      </w:r>
      <w:r>
        <w:rPr>
          <w:b/>
        </w:rPr>
        <w:t xml:space="preserve">”</w:t>
      </w:r>
      <w:r>
        <w:t xml:space="preserve">: Girotra has stated the $232M Series C+D is the company’s last equity raise. The math does not support this claim under most scenarios—100,000 units/year requires an estimated $230–450M in manufacturing CapEx and working capital beyond current resources. This statement is best understood as investor signaling, not financial commitment.</w:t>
      </w:r>
    </w:p>
    <w:p>
      <w:pPr>
        <w:numPr>
          <w:ilvl w:val="0"/>
          <w:numId w:val="1001"/>
        </w:numPr>
      </w:pPr>
      <w:r>
        <w:rPr>
          <w:b/>
        </w:rPr>
        <w:t xml:space="preserve">“</w:t>
      </w:r>
      <w:r>
        <w:rPr>
          <w:b/>
        </w:rPr>
        <w:t xml:space="preserve">Proudly domestic content</w:t>
      </w:r>
      <w:r>
        <w:rPr>
          <w:b/>
        </w:rPr>
        <w:t xml:space="preserve">”</w:t>
      </w:r>
      <w:r>
        <w:t xml:space="preserve">: Lunar markets its non-FEOC, domestic-content-compliant supply chain as a key differentiator, particularly for the TPO/lease model where Section 48E ITC eligibility is the primary economic mechanism. This claim has meaningful asterisks: battery modules are assembled in Mexico, SK On’s Georgia facility does not yet produce LFP cells commercially (not until H2 2026), and upstream graphite anode materials remain China-dependent.</w:t>
      </w:r>
    </w:p>
    <w:p>
      <w:pPr>
        <w:pStyle w:val="FirstParagraph"/>
      </w:pPr>
      <w:r>
        <w:rPr>
          <w:b/>
        </w:rPr>
        <w:t xml:space="preserve">Where narrative diverges from reality</w:t>
      </w:r>
      <w:r>
        <w:t xml:space="preserve">: Management describes California as the launchpad and Texas/Utah/Nevada/Illinois as imminent expansion markets—but no signed distribution partnerships, installer certifications, or utility contracts in any of these states have been publicly disclosed. The 100,000-unit target has no precedent in US residential battery manufacturing; Tesla took 7+ years to reach that level with vertical cell integration. The</w:t>
      </w:r>
      <w:r>
        <w:t xml:space="preserve"> </w:t>
      </w:r>
      <w:r>
        <w:t xml:space="preserve">“</w:t>
      </w:r>
      <w:r>
        <w:t xml:space="preserve">never raise again</w:t>
      </w:r>
      <w:r>
        <w:t xml:space="preserve">”</w:t>
      </w:r>
      <w:r>
        <w:t xml:space="preserve"> </w:t>
      </w:r>
      <w:r>
        <w:t xml:space="preserve">claim is contradicted by runway math showing ~11 months of cash at base burn. The hidden Series C ($130M, raised in 2024, not announced until February 2026) signals either unfavorable terms or deliberate information management.</w:t>
      </w:r>
    </w:p>
    <w:p>
      <w:pPr>
        <w:pStyle w:val="Heading2"/>
      </w:pPr>
      <w:bookmarkStart w:id="23" w:name="X905f0f7b708df476938015492b27ec330896e60"/>
      <w:r>
        <w:t xml:space="preserve">What the ENVIRONMENT Is Doing to Lunar Energy</w:t>
      </w:r>
      <w:bookmarkEnd w:id="23"/>
    </w:p>
    <w:p>
      <w:pPr>
        <w:pStyle w:val="FirstParagraph"/>
      </w:pPr>
      <w:r>
        <w:rPr>
          <w:b/>
        </w:rPr>
        <w:t xml:space="preserve">Massive tailwind, narrow window</w:t>
      </w:r>
      <w:r>
        <w:t xml:space="preserve">:</w:t>
      </w:r>
    </w:p>
    <w:p>
      <w:pPr>
        <w:numPr>
          <w:ilvl w:val="0"/>
          <w:numId w:val="1002"/>
        </w:numPr>
      </w:pPr>
      <w:r>
        <w:rPr>
          <w:b/>
        </w:rPr>
        <w:t xml:space="preserve">Section 25D ITC elimination</w:t>
      </w:r>
      <w:r>
        <w:t xml:space="preserve"> </w:t>
      </w:r>
      <w:r>
        <w:t xml:space="preserve">(effective January 1, 2026): The homeowner tax credit is gone. The only path to federal subsidy for residential battery customers is now through TPO/lease structures under Section 48E—which is precisely Lunar’s Sunrun channel. This is a structural tailwind that concentrates market power in lease companies (Sunrun) and FEOC-compliant battery makers (Lunar). However, 48E for solar/wind expires after 2027 (with beginning-of-construction safe harbor extending ~12 months).</w:t>
      </w:r>
      <w:r>
        <w:t xml:space="preserve"> </w:t>
      </w:r>
      <w:r>
        <w:rPr>
          <w:b/>
        </w:rPr>
        <w:t xml:space="preserve">Battery storage 48E extends through 2033</w:t>
      </w:r>
      <w:r>
        <w:t xml:space="preserve">—Lunar’s single most important and underreported regulatory advantage.</w:t>
      </w:r>
    </w:p>
    <w:p>
      <w:pPr>
        <w:numPr>
          <w:ilvl w:val="0"/>
          <w:numId w:val="1002"/>
        </w:numPr>
      </w:pPr>
      <w:r>
        <w:rPr>
          <w:b/>
        </w:rPr>
        <w:t xml:space="preserve">Battery cost collapse</w:t>
      </w:r>
      <w:r>
        <w:t xml:space="preserve">: Pack prices for stationary storage hit $70/kWh in 2025, down 45% YoY. This is a double-edged sword: it enables adoption but commoditizes hardware and empowers capital-intensive competitors like Base Power ($1.3B raised, $3B valuation) who can offer</w:t>
      </w:r>
      <w:r>
        <w:t xml:space="preserve"> </w:t>
      </w:r>
      <w:r>
        <w:t xml:space="preserve">“</w:t>
      </w:r>
      <w:r>
        <w:t xml:space="preserve">free batteries</w:t>
      </w:r>
      <w:r>
        <w:t xml:space="preserve">”</w:t>
      </w:r>
      <w:r>
        <w:t xml:space="preserve"> </w:t>
      </w:r>
      <w:r>
        <w:t xml:space="preserve">in deregulated markets.</w:t>
      </w:r>
    </w:p>
    <w:p>
      <w:pPr>
        <w:numPr>
          <w:ilvl w:val="0"/>
          <w:numId w:val="1002"/>
        </w:numPr>
      </w:pPr>
      <w:r>
        <w:rPr>
          <w:b/>
        </w:rPr>
        <w:t xml:space="preserve">Grid reliability deterioration</w:t>
      </w:r>
      <w:r>
        <w:t xml:space="preserve">: Outage durations up 80% over the past decade. Sunrun customers used batteries during 650,000+ outages in 2025. Every major grid event (Texas winter storm, California PSPS events, hurricanes) drives sustained battery inquiry spikes.</w:t>
      </w:r>
    </w:p>
    <w:p>
      <w:pPr>
        <w:numPr>
          <w:ilvl w:val="0"/>
          <w:numId w:val="1002"/>
        </w:numPr>
      </w:pPr>
      <w:r>
        <w:rPr>
          <w:b/>
        </w:rPr>
        <w:t xml:space="preserve">VPP market acceleration</w:t>
      </w:r>
      <w:r>
        <w:t xml:space="preserve">: 37.5 GW of flexible capacity in North America. DOE targeting 80–160 GW by 2030. But the largest near-term California VPP program (DSGS) was defunded by Governor Newsom—undermining the $464/year customer earnings figure that anchors Lunar’s marketing.</w:t>
      </w:r>
    </w:p>
    <w:p>
      <w:pPr>
        <w:numPr>
          <w:ilvl w:val="0"/>
          <w:numId w:val="1002"/>
        </w:numPr>
      </w:pPr>
      <w:r>
        <w:rPr>
          <w:b/>
        </w:rPr>
        <w:t xml:space="preserve">Competitive encirclement</w:t>
      </w:r>
      <w:r>
        <w:t xml:space="preserve">: Tesla Powerwall 3 holds 59% market share and is the default recommendation at most large installers. FranklinWH has scaled from zero to third nationally in ~3 years with 3,000+ certified installers (vs. Lunar’s 40). Base Power raised $1B for a battery-as-a-service model in Texas. Enphase is struggling but still commands 25% share. Sonnen (Shell-backed) is expanding aggressively.</w:t>
      </w:r>
    </w:p>
    <w:p>
      <w:pPr>
        <w:numPr>
          <w:ilvl w:val="0"/>
          <w:numId w:val="1002"/>
        </w:numPr>
      </w:pPr>
      <w:r>
        <w:rPr>
          <w:b/>
        </w:rPr>
        <w:t xml:space="preserve">FEOC/domestic content rules tightening</w:t>
      </w:r>
      <w:r>
        <w:t xml:space="preserve">: Current 40% domestic content threshold rises to 55% after 2026. Lunar’s Mexico-assembled battery modules—the most value-intensive manufacturing step—put the 10% domestic content bonus at risk under the higher threshold. SK On’s upstream graphite supply chain remains China-dependent. Transition relief expires 2027.</w:t>
      </w:r>
    </w:p>
    <w:p>
      <w:pPr>
        <w:pStyle w:val="Heading2"/>
      </w:pPr>
      <w:bookmarkStart w:id="24" w:name="whats-changed-recently-last-1218-months"/>
      <w:r>
        <w:t xml:space="preserve">What’s CHANGED Recently (Last 12–18 Months)</w:t>
      </w:r>
      <w:bookmarkEnd w:id="24"/>
    </w:p>
    <w:p>
      <w:pPr>
        <w:numPr>
          <w:ilvl w:val="0"/>
          <w:numId w:val="1003"/>
        </w:numPr>
      </w:pPr>
      <w:r>
        <w:rPr>
          <w:b/>
        </w:rPr>
        <w:t xml:space="preserve">Series C+D raise ($232M, February 2026)</w:t>
      </w:r>
      <w:r>
        <w:t xml:space="preserve">: Oversubscribed Series D signals investor appetite. But the hidden Series C (unannounced for 2+ years) raises questions about terms and valuation trajectory.</w:t>
      </w:r>
    </w:p>
    <w:p>
      <w:pPr>
        <w:numPr>
          <w:ilvl w:val="0"/>
          <w:numId w:val="1003"/>
        </w:numPr>
      </w:pPr>
      <w:r>
        <w:rPr>
          <w:b/>
        </w:rPr>
        <w:t xml:space="preserve">Section 25D elimination (One Big Beautiful Bill Act)</w:t>
      </w:r>
      <w:r>
        <w:t xml:space="preserve">: Eliminated homeowner clean energy credits. Forces market to TPO/lease. Structurally advantages Lunar’s Sunrun channel.</w:t>
      </w:r>
    </w:p>
    <w:p>
      <w:pPr>
        <w:numPr>
          <w:ilvl w:val="0"/>
          <w:numId w:val="1003"/>
        </w:numPr>
      </w:pPr>
      <w:r>
        <w:rPr>
          <w:b/>
        </w:rPr>
        <w:t xml:space="preserve">DSGS defunding</w:t>
      </w:r>
      <w:r>
        <w:t xml:space="preserve">: California’s largest VPP compensation program vetoed by Governor Newsom. Lunar’s widely-cited $464/year VPP earnings figure derived primarily from this program. Ongoing marketing of this figure without disclosure of program termination is a material misrepresentation risk.</w:t>
      </w:r>
    </w:p>
    <w:p>
      <w:pPr>
        <w:numPr>
          <w:ilvl w:val="0"/>
          <w:numId w:val="1003"/>
        </w:numPr>
      </w:pPr>
      <w:r>
        <w:rPr>
          <w:b/>
        </w:rPr>
        <w:t xml:space="preserve">SK On enters US stationary storage market</w:t>
      </w:r>
      <w:r>
        <w:t xml:space="preserve">: $1.5B deal with Flatiron Energy Development for 7.2 GWh of utility-scale LFP. SK is building the capability to bypass Lunar and sell directly into US storage markets.</w:t>
      </w:r>
    </w:p>
    <w:p>
      <w:pPr>
        <w:numPr>
          <w:ilvl w:val="0"/>
          <w:numId w:val="1003"/>
        </w:numPr>
      </w:pPr>
      <w:r>
        <w:rPr>
          <w:b/>
        </w:rPr>
        <w:t xml:space="preserve">GridShare Japan restructuring (December 2025)</w:t>
      </w:r>
      <w:r>
        <w:t xml:space="preserve">: Lunar took a minority stake in ITOCHU’s GSJ subsidiary alongside Japanese utilities. Marketed as</w:t>
      </w:r>
      <w:r>
        <w:t xml:space="preserve"> </w:t>
      </w:r>
      <w:r>
        <w:t xml:space="preserve">“</w:t>
      </w:r>
      <w:r>
        <w:t xml:space="preserve">deepening commitment to Japan</w:t>
      </w:r>
      <w:r>
        <w:t xml:space="preserve">”</w:t>
      </w:r>
      <w:r>
        <w:t xml:space="preserve">; structurally, this is a managed partial exit that hands operational control to ITOCHU while Lunar retains licensing revenue and equity upside. Signals a US-first strategic pivot.</w:t>
      </w:r>
    </w:p>
    <w:p>
      <w:pPr>
        <w:numPr>
          <w:ilvl w:val="0"/>
          <w:numId w:val="1003"/>
        </w:numPr>
      </w:pPr>
      <w:r>
        <w:rPr>
          <w:b/>
        </w:rPr>
        <w:t xml:space="preserve">Sunrun’s 71% storage attachment rate</w:t>
      </w:r>
      <w:r>
        <w:t xml:space="preserve">: Record high, but Sunrun is simultaneously promoting Tesla Powerwall 3 as its preferred hardware and reducing its affiliate installer channel by 40% in 2026—both of which directly threaten Lunar’s distribution.</w:t>
      </w:r>
    </w:p>
    <w:p>
      <w:pPr>
        <w:numPr>
          <w:ilvl w:val="0"/>
          <w:numId w:val="1003"/>
        </w:numPr>
      </w:pPr>
      <w:r>
        <w:rPr>
          <w:b/>
        </w:rPr>
        <w:t xml:space="preserve">Base Power’s $1B Series C (October 2025)</w:t>
      </w:r>
      <w:r>
        <w:t xml:space="preserve">: The most capitalized residential battery competitor, operating in Texas (Lunar’s announced expansion market), with a fundamentally different own-and-operate model.</w:t>
      </w:r>
    </w:p>
    <w:p>
      <w:pPr>
        <w:numPr>
          <w:ilvl w:val="0"/>
          <w:numId w:val="1003"/>
        </w:numPr>
      </w:pPr>
      <w:r>
        <w:rPr>
          <w:b/>
        </w:rPr>
        <w:t xml:space="preserve">Honda’s ChargeScape JV</w:t>
      </w:r>
      <w:r>
        <w:t xml:space="preserve">: Honda—a Lunar shareholder and historical Moixa partner—is building its primary V2G infrastructure through a joint venture with BMW, Ford, and Nissan, not through Gridshare. This suggests Gridshare may be excluded from Honda’s most commercially significant EV-to-grid opportunity.</w:t>
      </w:r>
    </w:p>
    <w:p>
      <w:pPr>
        <w:numPr>
          <w:ilvl w:val="0"/>
          <w:numId w:val="1003"/>
        </w:numPr>
      </w:pPr>
      <w:r>
        <w:rPr>
          <w:b/>
        </w:rPr>
        <w:t xml:space="preserve">Japan VPP market opening (2026)</w:t>
      </w:r>
      <w:r>
        <w:t xml:space="preserve">: For the first time, residential DERs in Japan will be eligible for transmission-level capacity and balancing markets. Gridshare already manages 35,000+ homes via ITOCHU—a potential step-change in software revenue.</w:t>
      </w:r>
    </w:p>
    <w:p>
      <w:pPr>
        <w:numPr>
          <w:ilvl w:val="0"/>
          <w:numId w:val="1003"/>
        </w:numPr>
      </w:pPr>
      <w:r>
        <w:rPr>
          <w:b/>
        </w:rPr>
        <w:t xml:space="preserve">Sunrun financial stress</w:t>
      </w:r>
      <w:r>
        <w:t xml:space="preserve">: Altman Z-Score of -0.47 (distress zone), $14.6B total debt, stock down significantly. If Sunrun represents 50%+ of Lunar’s hardware revenue and the dominant Gridshare licensing relationship, Sunrun’s financial health is Lunar’s financial health.</w:t>
      </w:r>
    </w:p>
    <w:p>
      <w:r>
        <w:pict>
          <v:rect style="width:0;height:1.5pt" o:hralign="center" o:hrstd="t" o:hr="t"/>
        </w:pict>
      </w:r>
    </w:p>
    <w:p>
      <w:pPr>
        <w:pStyle w:val="Heading1"/>
      </w:pPr>
      <w:bookmarkStart w:id="25" w:name="X0c4c9dbf43c7cc83133a49102a53ea5cd8a11d2"/>
      <w:r>
        <w:t xml:space="preserve">DELIVERABLE 2: TENSION POINTS &amp; RESEARCH HYPOTHESES</w:t>
      </w:r>
      <w:bookmarkEnd w:id="25"/>
    </w:p>
    <w:p>
      <w:pPr>
        <w:pStyle w:val="Heading2"/>
      </w:pPr>
      <w:bookmarkStart w:id="26" w:name="X393b9eb064a148abd8878a0d5b6083311fac4aa"/>
      <w:r>
        <w:t xml:space="preserve">TENSION POINT 1: Gridshare Software Manages 16x More Capacity Than Lunar Hardware—The Company Is Mispriced as a Hardware Business</w:t>
      </w:r>
      <w:bookmarkEnd w:id="26"/>
    </w:p>
    <w:p>
      <w:pPr>
        <w:pStyle w:val="FirstParagraph"/>
      </w:pPr>
      <w:r>
        <w:rPr>
          <w:b/>
        </w:rPr>
        <w:t xml:space="preserve">TENSION</w:t>
      </w:r>
      <w:r>
        <w:t xml:space="preserve">: Gridshare manages ~650 MW / ~150,000 devices globally, of which Lunar’s own hardware represents only ~40 MW / ~2,000 units (~3% of the managed fleet). The 60% performance improvement delivered for SCE’s Sunrun fleet, the $14M+ estimated annual VPP SaaS revenue, and the 40 billion monthly data points from Japan all belong to the software platform—yet investors and the market treat Lunar primarily as a battery manufacturer. The Series D was positioned around manufacturing scale-up, not SaaS metrics.</w:t>
      </w:r>
    </w:p>
    <w:p>
      <w:pPr>
        <w:pStyle w:val="BodyText"/>
      </w:pPr>
      <w:r>
        <w:rPr>
          <w:b/>
        </w:rPr>
        <w:t xml:space="preserve">HYPOTHESIS</w:t>
      </w:r>
      <w:r>
        <w:t xml:space="preserve">: Lunar’s most valuable asset—Gridshare—is being systematically undervalued because it is bundled inside a hardware company story. At comparable SaaS multiples (AutoGrid acquired at 5–10x ARR, OhmConnect valued at $800M+), Gridshare alone could be worth $70–150M today and $300–500M at 300,000 devices. The integrated model is strategically correct but financially opaque. Surfacing Gridshare’s unit economics (ARR, net retention, margin per device) in investor communications—without spinning it off—could unlock $200–400M of incremental enterprise value by making the software component visible to acquirers and IPO investors.</w:t>
      </w:r>
    </w:p>
    <w:p>
      <w:pPr>
        <w:pStyle w:val="BodyText"/>
      </w:pPr>
      <w:r>
        <w:rPr>
          <w:b/>
        </w:rPr>
        <w:t xml:space="preserve">CATEGORY</w:t>
      </w:r>
      <w:r>
        <w:t xml:space="preserve">: INFORMATION ARBITRAGE</w:t>
      </w:r>
    </w:p>
    <w:p>
      <w:pPr>
        <w:pStyle w:val="BodyText"/>
      </w:pPr>
      <w:r>
        <w:rPr>
          <w:b/>
        </w:rPr>
        <w:t xml:space="preserve">POTENTIAL MAGNITUDE</w:t>
      </w:r>
      <w:r>
        <w:t xml:space="preserve">: Transformational</w:t>
      </w:r>
    </w:p>
    <w:p>
      <w:pPr>
        <w:pStyle w:val="BodyText"/>
      </w:pPr>
      <w:r>
        <w:rPr>
          <w:b/>
        </w:rPr>
        <w:t xml:space="preserve">TIME HORIZON</w:t>
      </w:r>
      <w:r>
        <w:t xml:space="preserve">: Near-term (6–18 months)</w:t>
      </w:r>
    </w:p>
    <w:p>
      <w:pPr>
        <w:pStyle w:val="BodyText"/>
      </w:pPr>
      <w:r>
        <w:rPr>
          <w:b/>
        </w:rPr>
        <w:t xml:space="preserve">CONFIDENCE</w:t>
      </w:r>
      <w:r>
        <w:t xml:space="preserve">: High — the device count discrepancy is factual and publicly documented; the valuation gap is structural</w:t>
      </w:r>
    </w:p>
    <w:p>
      <w:pPr>
        <w:pStyle w:val="BodyText"/>
      </w:pPr>
      <w:r>
        <w:rPr>
          <w:b/>
        </w:rPr>
        <w:t xml:space="preserve">LAYER 2 RESEARCH QUESTION</w:t>
      </w:r>
      <w:r>
        <w:t xml:space="preserve">: What is Gridshare’s actual revenue, broken down by customer (Sunrun licensing fees, CCA contracts, ITOCHU/GSJ licensing, Honda UK, EDP Spain/Portugal)? Investigate: (1) Sunrun’s 10-K and 10-Q filings for any line items referencing third-party software licensing costs or VPP platform fees; (2) California CCA procurement records (PCE, SVCE, Ava) for contract values with Lunar/Gridshare; (3) ITOCHU’s annual securities report for GSJ-related licensing expenses; (4) comparable VPP SaaS transactions (AutoGrid/Enel acquisition terms, OhmConnect funding valuation, Voltus public filings if available). Specifically: what does Sunrun pay per device per year for Gridshare management of its non-Tesla fleet?</w:t>
      </w:r>
    </w:p>
    <w:p>
      <w:r>
        <w:pict>
          <v:rect style="width:0;height:1.5pt" o:hralign="center" o:hrstd="t" o:hr="t"/>
        </w:pict>
      </w:r>
    </w:p>
    <w:p>
      <w:pPr>
        <w:pStyle w:val="Heading2"/>
      </w:pPr>
      <w:bookmarkStart w:id="27" w:name="Xa38929c39802c94056ae2f1393f8ca5bb47d0e2"/>
      <w:r>
        <w:t xml:space="preserve">TENSION POINT 2: Section 45X Advanced Manufacturing Production Credits Are Worth $20M+/Year at Target Scale and Appear Unmonetized</w:t>
      </w:r>
      <w:bookmarkEnd w:id="27"/>
    </w:p>
    <w:p>
      <w:pPr>
        <w:pStyle w:val="FirstParagraph"/>
      </w:pPr>
      <w:r>
        <w:rPr>
          <w:b/>
        </w:rPr>
        <w:t xml:space="preserve">TENSION</w:t>
      </w:r>
      <w:r>
        <w:t xml:space="preserve">: IRA Section 45X provides $10/kWh for battery modules ≥7 kWh assembled in the US. Lunar’s 15–30 kWh modules, assembled in Georgia (inverter/electronics) and potentially qualifying for module-level credits, could generate $150–300 per unit. At 20,000 units/year (2026 target): ~$4.8M. At 100,000 units/year: ~$24M/year. These credits are transferable for immediate cash at 90–95 cents on the dollar. No public Lunar communication references 45X. At a company burning $8–12M/month, $24M/year in non-dilutive cash is the equivalent of 2–3 months of runway annually.</w:t>
      </w:r>
    </w:p>
    <w:p>
      <w:pPr>
        <w:pStyle w:val="BodyText"/>
      </w:pPr>
      <w:r>
        <w:rPr>
          <w:b/>
        </w:rPr>
        <w:t xml:space="preserve">HYPOTHESIS</w:t>
      </w:r>
      <w:r>
        <w:t xml:space="preserve">: Lunar is either (a) not claiming 45X credits because its Mexico-based module assembly disqualifies the battery module component, or (b) claiming them but not disclosing it, or (c) unaware of or under-optimizing this mechanism. If Mexico assembly disqualifies the battery module but Georgia assembly qualifies the inverter and Bridge, Lunar could restructure to bring module assembly onshore and unlock the full credit. At 100K units, the cumulative 45X value over 2026–2032 exceeds $100M—enough to meaningfully close the</w:t>
      </w:r>
      <w:r>
        <w:t xml:space="preserve"> </w:t>
      </w:r>
      <w:r>
        <w:t xml:space="preserve">“</w:t>
      </w:r>
      <w:r>
        <w:t xml:space="preserve">never raise again</w:t>
      </w:r>
      <w:r>
        <w:t xml:space="preserve">”</w:t>
      </w:r>
      <w:r>
        <w:t xml:space="preserve"> </w:t>
      </w:r>
      <w:r>
        <w:t xml:space="preserve">capital gap.</w:t>
      </w:r>
    </w:p>
    <w:p>
      <w:pPr>
        <w:pStyle w:val="BodyText"/>
      </w:pPr>
      <w:r>
        <w:rPr>
          <w:b/>
        </w:rPr>
        <w:t xml:space="preserve">CATEGORY</w:t>
      </w:r>
      <w:r>
        <w:t xml:space="preserve">: OFFENSIVE OPPORTUNITY</w:t>
      </w:r>
    </w:p>
    <w:p>
      <w:pPr>
        <w:pStyle w:val="BodyText"/>
      </w:pPr>
      <w:r>
        <w:rPr>
          <w:b/>
        </w:rPr>
        <w:t xml:space="preserve">POTENTIAL MAGNITUDE</w:t>
      </w:r>
      <w:r>
        <w:t xml:space="preserve">: Transformational ($100M+ cumulative non-dilutive cash through 2032)</w:t>
      </w:r>
    </w:p>
    <w:p>
      <w:pPr>
        <w:pStyle w:val="BodyText"/>
      </w:pPr>
      <w:r>
        <w:rPr>
          <w:b/>
        </w:rPr>
        <w:t xml:space="preserve">TIME HORIZON</w:t>
      </w:r>
      <w:r>
        <w:t xml:space="preserve">: Immediate (&lt;6 months) — requires qualification analysis and potential manufacturing restructuring</w:t>
      </w:r>
    </w:p>
    <w:p>
      <w:pPr>
        <w:pStyle w:val="BodyText"/>
      </w:pPr>
      <w:r>
        <w:rPr>
          <w:b/>
        </w:rPr>
        <w:t xml:space="preserve">CONFIDENCE</w:t>
      </w:r>
      <w:r>
        <w:t xml:space="preserve">: Medium — uncertainty centers on whether Mexico module assembly disqualifies the battery component, and whether inverter/Bridge assembly alone qualifies. The credit structure and amounts are factual.</w:t>
      </w:r>
    </w:p>
    <w:p>
      <w:pPr>
        <w:pStyle w:val="BodyText"/>
      </w:pPr>
      <w:r>
        <w:rPr>
          <w:b/>
        </w:rPr>
        <w:t xml:space="preserve">LAYER 2 RESEARCH QUESTION</w:t>
      </w:r>
      <w:r>
        <w:t xml:space="preserve">: Does Lunar’s current manufacturing configuration (Mexico module assembly, Georgia inverter/Bridge/Maximizer assembly) qualify for 45X credits on any component? Investigate: (1) IRS Notice 2023-38 and subsequent 45X guidance for</w:t>
      </w:r>
      <w:r>
        <w:t xml:space="preserve"> </w:t>
      </w:r>
      <w:r>
        <w:t xml:space="preserve">“</w:t>
      </w:r>
      <w:r>
        <w:t xml:space="preserve">electrode active material</w:t>
      </w:r>
      <w:r>
        <w:t xml:space="preserve">”</w:t>
      </w:r>
      <w:r>
        <w:t xml:space="preserve"> </w:t>
      </w:r>
      <w:r>
        <w:t xml:space="preserve">and</w:t>
      </w:r>
      <w:r>
        <w:t xml:space="preserve"> </w:t>
      </w:r>
      <w:r>
        <w:t xml:space="preserve">“</w:t>
      </w:r>
      <w:r>
        <w:t xml:space="preserve">battery module</w:t>
      </w:r>
      <w:r>
        <w:t xml:space="preserve">”</w:t>
      </w:r>
      <w:r>
        <w:t xml:space="preserve"> </w:t>
      </w:r>
      <w:r>
        <w:t xml:space="preserve">definitions; (2) whether assembling cells into modules in Mexico and then integrating modules into systems in Georgia constitutes US manufacturing of a qualifying</w:t>
      </w:r>
      <w:r>
        <w:t xml:space="preserve"> </w:t>
      </w:r>
      <w:r>
        <w:t xml:space="preserve">“</w:t>
      </w:r>
      <w:r>
        <w:t xml:space="preserve">battery module</w:t>
      </w:r>
      <w:r>
        <w:t xml:space="preserve">”</w:t>
      </w:r>
      <w:r>
        <w:t xml:space="preserve">; (3) the 45X credit for inverters ($0.11/watt AC for inverters ≥20 watts = ~$1,056 per 9.6 kW Lunar inverter); (4) what other residential battery/inverter manufacturers (Enphase, FranklinWH, SolarEdge) have disclosed about 45X claims; (5) Treasury safe harbor tables for BESS component cost percentages under Notice 2025-08.</w:t>
      </w:r>
    </w:p>
    <w:p>
      <w:r>
        <w:pict>
          <v:rect style="width:0;height:1.5pt" o:hralign="center" o:hrstd="t" o:hr="t"/>
        </w:pict>
      </w:r>
    </w:p>
    <w:p>
      <w:pPr>
        <w:pStyle w:val="Heading2"/>
      </w:pPr>
      <w:bookmarkStart w:id="28" w:name="X1e45db7a49f2598bba9fa4dfe61f5d67ad9ef52"/>
      <w:r>
        <w:t xml:space="preserve">TENSION POINT 3: Mexico Battery Module Assembly Contradicts</w:t>
      </w:r>
      <w:r>
        <w:t xml:space="preserve"> </w:t>
      </w:r>
      <w:r>
        <w:t xml:space="preserve">“</w:t>
      </w:r>
      <w:r>
        <w:t xml:space="preserve">Proudly Domestic Content</w:t>
      </w:r>
      <w:r>
        <w:t xml:space="preserve">”</w:t>
      </w:r>
      <w:r>
        <w:t xml:space="preserve"> </w:t>
      </w:r>
      <w:r>
        <w:t xml:space="preserve">Marketing and Threatens the 10% ITC Bonus as Thresholds Rise</w:t>
      </w:r>
      <w:bookmarkEnd w:id="28"/>
    </w:p>
    <w:p>
      <w:pPr>
        <w:pStyle w:val="FirstParagraph"/>
      </w:pPr>
      <w:r>
        <w:rPr>
          <w:b/>
        </w:rPr>
        <w:t xml:space="preserve">TENSION</w:t>
      </w:r>
      <w:r>
        <w:t xml:space="preserve">: Lunar’s website quietly discloses that battery modules (cell sorting, busbar welding, BMS installation, housing—the most value-intensive manufacturing step) are assembled</w:t>
      </w:r>
      <w:r>
        <w:t xml:space="preserve"> </w:t>
      </w:r>
      <w:r>
        <w:t xml:space="preserve">“</w:t>
      </w:r>
      <w:r>
        <w:t xml:space="preserve">just over the border in Mexico.</w:t>
      </w:r>
      <w:r>
        <w:t xml:space="preserve">”</w:t>
      </w:r>
      <w:r>
        <w:t xml:space="preserve"> </w:t>
      </w:r>
      <w:r>
        <w:t xml:space="preserve">Simultaneously, Lunar VP Ed Gunn markets the company as</w:t>
      </w:r>
      <w:r>
        <w:t xml:space="preserve"> </w:t>
      </w:r>
      <w:r>
        <w:t xml:space="preserve">“</w:t>
      </w:r>
      <w:r>
        <w:t xml:space="preserve">proudly domestic content.</w:t>
      </w:r>
      <w:r>
        <w:t xml:space="preserve">”</w:t>
      </w:r>
      <w:r>
        <w:t xml:space="preserve"> </w:t>
      </w:r>
      <w:r>
        <w:t xml:space="preserve">The domestic content threshold for the 10% ITC bonus rises from 40% to 55% after 2026. The battery module is typically 50–60% of total system cost. If Mexico-assembled modules are excluded from domestic content calculations, Lunar likely fails the 55% threshold—costing Sunrun and other TPOs $2,500 per system (10% of a $25K system) and potentially rendering Lunar’s hardware uncompetitive versus genuinely domestic assemblers.</w:t>
      </w:r>
    </w:p>
    <w:p>
      <w:pPr>
        <w:pStyle w:val="BodyText"/>
      </w:pPr>
      <w:r>
        <w:rPr>
          <w:b/>
        </w:rPr>
        <w:t xml:space="preserve">HYPOTHESIS</w:t>
      </w:r>
      <w:r>
        <w:t xml:space="preserve">: Lunar has a 12–18 month window to either (a) relocate module assembly from Mexico to its Georgia or Washington facilities before the 55% threshold takes effect, or (b) secure a private letter ruling from Treasury confirming Mexico assembly counts under USMCA provisions. Relocation to Georgia would cost an estimated $15–25M in facility buildout and equipment but would simultaneously unlock 45X credits ($150–300/unit) and preserve the domestic content bonus ($2,500/unit)—a combined benefit of $2,650–$2,800/unit that dwarfs the relocation cost within the first production year at 10,000+ units.</w:t>
      </w:r>
    </w:p>
    <w:p>
      <w:pPr>
        <w:pStyle w:val="BodyText"/>
      </w:pPr>
      <w:r>
        <w:rPr>
          <w:b/>
        </w:rPr>
        <w:t xml:space="preserve">CATEGORY</w:t>
      </w:r>
      <w:r>
        <w:t xml:space="preserve">: DEFENSIVE RISK / OFFENSIVE OPPORTUNITY (dual)</w:t>
      </w:r>
    </w:p>
    <w:p>
      <w:pPr>
        <w:pStyle w:val="BodyText"/>
      </w:pPr>
      <w:r>
        <w:rPr>
          <w:b/>
        </w:rPr>
        <w:t xml:space="preserve">POTENTIAL MAGNITUDE</w:t>
      </w:r>
      <w:r>
        <w:t xml:space="preserve">: Transformational (loss of DC bonus = existential to lease economics; gain of 45X + DC = $50M+/year at scale)</w:t>
      </w:r>
    </w:p>
    <w:p>
      <w:pPr>
        <w:pStyle w:val="BodyText"/>
      </w:pPr>
      <w:r>
        <w:rPr>
          <w:b/>
        </w:rPr>
        <w:t xml:space="preserve">TIME HORIZON</w:t>
      </w:r>
      <w:r>
        <w:t xml:space="preserve">: Immediate (&lt;6 months) — 55% threshold effective after 2026; decision must be made now</w:t>
      </w:r>
    </w:p>
    <w:p>
      <w:pPr>
        <w:pStyle w:val="BodyText"/>
      </w:pPr>
      <w:r>
        <w:rPr>
          <w:b/>
        </w:rPr>
        <w:t xml:space="preserve">CONFIDENCE</w:t>
      </w:r>
      <w:r>
        <w:t xml:space="preserve">: High on the regulatory facts; Medium on whether Lunar can execute relocation within the timeline</w:t>
      </w:r>
    </w:p>
    <w:p>
      <w:pPr>
        <w:pStyle w:val="BodyText"/>
      </w:pPr>
      <w:r>
        <w:rPr>
          <w:b/>
        </w:rPr>
        <w:t xml:space="preserve">LAYER 2 RESEARCH QUESTION</w:t>
      </w:r>
      <w:r>
        <w:t xml:space="preserve">: (1) What is the exact domestic content cost calculation for a Lunar System under Notice 2025-08’s BESS-specific safe harbor tables? (2) Has any battery manufacturer received Treasury guidance on whether USMCA-origin components count as</w:t>
      </w:r>
      <w:r>
        <w:t xml:space="preserve"> </w:t>
      </w:r>
      <w:r>
        <w:t xml:space="preserve">“</w:t>
      </w:r>
      <w:r>
        <w:t xml:space="preserve">domestic</w:t>
      </w:r>
      <w:r>
        <w:t xml:space="preserve">”</w:t>
      </w:r>
      <w:r>
        <w:t xml:space="preserve"> </w:t>
      </w:r>
      <w:r>
        <w:t xml:space="preserve">for ITC domestic content purposes? (3) What is the floorspace, equipment, and labor cost to establish LFP module assembly in Lunar’s existing Suwanee, GA facility or a new adjacent facility? (4) How quickly could this transition be executed—what is the minimum realistic timeline from decision to first module off the Georgia line? Look at: Treasury Notice 2025-08, IRS domestic content FAQ, USMCA rules of origin for batteries (HS 8507), comparable relocations by other battery assemblers.</w:t>
      </w:r>
    </w:p>
    <w:p>
      <w:r>
        <w:pict>
          <v:rect style="width:0;height:1.5pt" o:hralign="center" o:hrstd="t" o:hr="t"/>
        </w:pict>
      </w:r>
    </w:p>
    <w:p>
      <w:pPr>
        <w:pStyle w:val="Heading2"/>
      </w:pPr>
      <w:bookmarkStart w:id="29" w:name="X9435d48783b4367f8b337ec20f5f2758029f724"/>
      <w:r>
        <w:t xml:space="preserve">TENSION POINT 4: 40 Installer Partners Cannot Deliver 20,000 Units—The Channel Gap Is the Binding Constraint</w:t>
      </w:r>
      <w:bookmarkEnd w:id="29"/>
    </w:p>
    <w:p>
      <w:pPr>
        <w:pStyle w:val="FirstParagraph"/>
      </w:pPr>
      <w:r>
        <w:rPr>
          <w:b/>
        </w:rPr>
        <w:t xml:space="preserve">TENSION</w:t>
      </w:r>
      <w:r>
        <w:t xml:space="preserve">: Lunar has ~40 certified installer partners and ~2,000 cumulative deployments (50 units per partner on average). The 2026 target of 20,000 units requires 500 units per partner—a 10x increase per partner, or 200–300 total partners (5–7x the current base). FranklinWH has scaled to 3,000+ installers in roughly the same timeframe. Meanwhile, a Roth Capital survey of installers shifting away from Tesla lists FranklinWH, Enphase, and SolarEdge as alternatives—</w:t>
      </w:r>
      <w:r>
        <w:rPr>
          <w:b/>
        </w:rPr>
        <w:t xml:space="preserve">Lunar is not on the list</w:t>
      </w:r>
      <w:r>
        <w:t xml:space="preserve"> </w:t>
      </w:r>
      <w:r>
        <w:t xml:space="preserve">despite this being the moment of maximum opportunity. Tesla’s domestic content vulnerability and brand deterioration are creating a one-time window that Lunar’s 40-partner channel cannot capture.</w:t>
      </w:r>
    </w:p>
    <w:p>
      <w:pPr>
        <w:pStyle w:val="BodyText"/>
      </w:pPr>
      <w:r>
        <w:rPr>
          <w:b/>
        </w:rPr>
        <w:t xml:space="preserve">HYPOTHESIS</w:t>
      </w:r>
      <w:r>
        <w:t xml:space="preserve">: The installer channel—not manufacturing capacity, not cell supply—is the true binding constraint on Lunar’s growth. Every month of delay in scaling the installer network is a month of lost market share to FranklinWH and Enphase during the Tesla backlash window. Lunar should redirect $10–15M of the Series D to an emergency installer acquisition/certification program: (a) acquire 1–2 regional installer networks outright, (b) offer installer certification subsidies (free training, discounted initial inventory), (c) hire 20–30 dedicated installer development reps, and (d) create a</w:t>
      </w:r>
      <w:r>
        <w:t xml:space="preserve"> </w:t>
      </w:r>
      <w:r>
        <w:t xml:space="preserve">“</w:t>
      </w:r>
      <w:r>
        <w:t xml:space="preserve">Tesla conversion</w:t>
      </w:r>
      <w:r>
        <w:t xml:space="preserve">”</w:t>
      </w:r>
      <w:r>
        <w:t xml:space="preserve"> </w:t>
      </w:r>
      <w:r>
        <w:t xml:space="preserve">program specifically targeting the thousands of installers currently looking for Powerwall alternatives.</w:t>
      </w:r>
    </w:p>
    <w:p>
      <w:pPr>
        <w:pStyle w:val="BodyText"/>
      </w:pPr>
      <w:r>
        <w:rPr>
          <w:b/>
        </w:rPr>
        <w:t xml:space="preserve">CATEGORY</w:t>
      </w:r>
      <w:r>
        <w:t xml:space="preserve">: DEFENSIVE RISK (missing the window) / OFFENSIVE OPPORTUNITY (capturing Tesla defectors)</w:t>
      </w:r>
    </w:p>
    <w:p>
      <w:pPr>
        <w:pStyle w:val="BodyText"/>
      </w:pPr>
      <w:r>
        <w:rPr>
          <w:b/>
        </w:rPr>
        <w:t xml:space="preserve">POTENTIAL MAGNITUDE</w:t>
      </w:r>
      <w:r>
        <w:t xml:space="preserve">: Transformational (channel scale determines whether Lunar achieves 5% or 0.5% market share)</w:t>
      </w:r>
    </w:p>
    <w:p>
      <w:pPr>
        <w:pStyle w:val="BodyText"/>
      </w:pPr>
      <w:r>
        <w:rPr>
          <w:b/>
        </w:rPr>
        <w:t xml:space="preserve">TIME HORIZON</w:t>
      </w:r>
      <w:r>
        <w:t xml:space="preserve">: Immediate (&lt;6 months) — the Tesla backlash window is open now; FranklinWH is actively capturing it</w:t>
      </w:r>
    </w:p>
    <w:p>
      <w:pPr>
        <w:pStyle w:val="BodyText"/>
      </w:pPr>
      <w:r>
        <w:rPr>
          <w:b/>
        </w:rPr>
        <w:t xml:space="preserve">CONFIDENCE</w:t>
      </w:r>
      <w:r>
        <w:t xml:space="preserve">: High — the 40 vs. 3,000+ installer gap is factual; installer survey data confirms Tesla alternatives are being selected without Lunar in the consideration set</w:t>
      </w:r>
    </w:p>
    <w:p>
      <w:pPr>
        <w:pStyle w:val="BodyText"/>
      </w:pPr>
      <w:r>
        <w:rPr>
          <w:b/>
        </w:rPr>
        <w:t xml:space="preserve">LAYER 2 RESEARCH QUESTION</w:t>
      </w:r>
      <w:r>
        <w:t xml:space="preserve">: (1) What is FranklinWH’s specific installer certification process, timeline, and incentive structure—how did they scale from 0 to 3,000 in ~3 years? (2) Which of Lunar’s existing 40 partners are Sunrun-affiliated vs. independent, and what is the per-partner deployment rate? (3) What regional installer networks (5–50 person operations) exist in California, Texas, Arizona, Nevada that are actively seeking non-Tesla/non-Enphase battery brands? (4) What does it cost to certify and support a new Lunar installer partner (training hours, equipment, warranty infrastructure)? Check: EnergySage installer directory, NABCEP certification databases, California CSLB license holders with C-10 (electrical) classifications, Greentech Renewables dealer network composition.</w:t>
      </w:r>
    </w:p>
    <w:p>
      <w:r>
        <w:pict>
          <v:rect style="width:0;height:1.5pt" o:hralign="center" o:hrstd="t" o:hr="t"/>
        </w:pict>
      </w:r>
    </w:p>
    <w:p>
      <w:pPr>
        <w:pStyle w:val="Heading2"/>
      </w:pPr>
      <w:bookmarkStart w:id="30" w:name="Xa34f19e2a63b3949c597af4d184c0cf8b25d34f"/>
      <w:r>
        <w:t xml:space="preserve">TENSION POINT 5: DOE Loan Programs Office Financing Is Available at 2–3% vs. 9–11% Venture Debt—and Appears Unpursued</w:t>
      </w:r>
      <w:bookmarkEnd w:id="30"/>
    </w:p>
    <w:p>
      <w:pPr>
        <w:pStyle w:val="FirstParagraph"/>
      </w:pPr>
      <w:r>
        <w:rPr>
          <w:b/>
        </w:rPr>
        <w:t xml:space="preserve">TENSION</w:t>
      </w:r>
      <w:r>
        <w:t xml:space="preserve">: Lunar’s manufacturing scale-up to 100,000 units/year requires an estimated $230–450M in CapEx and working capital. The company has ~$100M in cash and is burning $8–12M/month. The CEO claims the company will</w:t>
      </w:r>
      <w:r>
        <w:t xml:space="preserve"> </w:t>
      </w:r>
      <w:r>
        <w:t xml:space="preserve">“</w:t>
      </w:r>
      <w:r>
        <w:t xml:space="preserve">never raise again.</w:t>
      </w:r>
      <w:r>
        <w:t xml:space="preserve">”</w:t>
      </w:r>
      <w:r>
        <w:t xml:space="preserve"> </w:t>
      </w:r>
      <w:r>
        <w:t xml:space="preserve">The DOE Loan Programs Office has deployed $40B+ in low-cost loans (2–3% fixed) to domestic clean energy manufacturers, with explicit eligibility for battery storage assembly. Redwood Materials received $2B; multiple battery manufacturers have accessed $100M–$500M facilities. There is no public evidence Lunar has applied. At $200M of potential LPO financing, the interest savings vs. venture debt are $12–16M/year—roughly equivalent to 1–2 months of current burn rate.</w:t>
      </w:r>
    </w:p>
    <w:p>
      <w:pPr>
        <w:pStyle w:val="BodyText"/>
      </w:pPr>
      <w:r>
        <w:rPr>
          <w:b/>
        </w:rPr>
        <w:t xml:space="preserve">HYPOTHESIS</w:t>
      </w:r>
      <w:r>
        <w:t xml:space="preserve">: A $150–250M DOE LPO loan would simultaneously (a) close the manufacturing CapEx gap, (b) validate the</w:t>
      </w:r>
      <w:r>
        <w:t xml:space="preserve"> </w:t>
      </w:r>
      <w:r>
        <w:t xml:space="preserve">“</w:t>
      </w:r>
      <w:r>
        <w:t xml:space="preserve">never raise again</w:t>
      </w:r>
      <w:r>
        <w:t xml:space="preserve">”</w:t>
      </w:r>
      <w:r>
        <w:t xml:space="preserve"> </w:t>
      </w:r>
      <w:r>
        <w:t xml:space="preserve">claim, (c) signal government confidence to utility customers, and (d) save $12–16M/year in financing costs vs. venture debt. The primary barriers are likely application complexity (12–18 month process) and the requirement for a detailed engineering/financial plan. If Lunar has not filed an application, this is the single highest-priority financial action available—and the window may narrow under the current political administration’s potential hostility to clean energy lending.</w:t>
      </w:r>
    </w:p>
    <w:p>
      <w:pPr>
        <w:pStyle w:val="BodyText"/>
      </w:pPr>
      <w:r>
        <w:rPr>
          <w:b/>
        </w:rPr>
        <w:t xml:space="preserve">CATEGORY</w:t>
      </w:r>
      <w:r>
        <w:t xml:space="preserve">: STRUCTURAL UNLOCK</w:t>
      </w:r>
    </w:p>
    <w:p>
      <w:pPr>
        <w:pStyle w:val="BodyText"/>
      </w:pPr>
      <w:r>
        <w:rPr>
          <w:b/>
        </w:rPr>
        <w:t xml:space="preserve">POTENTIAL MAGNITUDE</w:t>
      </w:r>
      <w:r>
        <w:t xml:space="preserve">: Transformational ($150–250M in low-cost capital; makes 100K unit target financially feasible)</w:t>
      </w:r>
    </w:p>
    <w:p>
      <w:pPr>
        <w:pStyle w:val="BodyText"/>
      </w:pPr>
      <w:r>
        <w:rPr>
          <w:b/>
        </w:rPr>
        <w:t xml:space="preserve">TIME HORIZON</w:t>
      </w:r>
      <w:r>
        <w:t xml:space="preserve">: Near-term (6–18 months — application timeline)</w:t>
      </w:r>
    </w:p>
    <w:p>
      <w:pPr>
        <w:pStyle w:val="BodyText"/>
      </w:pPr>
      <w:r>
        <w:rPr>
          <w:b/>
        </w:rPr>
        <w:t xml:space="preserve">CONFIDENCE</w:t>
      </w:r>
      <w:r>
        <w:t xml:space="preserve">: High on availability and eligibility; Medium on political risk (current administration may slow LPO approvals for clean energy)</w:t>
      </w:r>
    </w:p>
    <w:p>
      <w:pPr>
        <w:pStyle w:val="BodyText"/>
      </w:pPr>
      <w:r>
        <w:rPr>
          <w:b/>
        </w:rPr>
        <w:t xml:space="preserve">LAYER 2 RESEARCH QUESTION</w:t>
      </w:r>
      <w:r>
        <w:t xml:space="preserve">: (1) Has Lunar submitted a pre-application or formal application to DOE LPO under Title XVII (Innovative Energy) or the expanded ATVM program? Check: DOE LPO conditional commitment announcements, FOIA requests, and management statements at industry conferences. (2) What are the specific eligibility requirements for a residential battery assembly operation vs. cell manufacturing? (3) Which comparable companies (residential battery assemblers, not just cell manufacturers) have received LPO financing? (4) What is the current political status of LPO under the current administration—are new conditional commitments still being issued for battery storage? Check: DOE LPO portfolio tracker, Congressional appropriations for LPO credit subsidy.</w:t>
      </w:r>
    </w:p>
    <w:p>
      <w:r>
        <w:pict>
          <v:rect style="width:0;height:1.5pt" o:hralign="center" o:hrstd="t" o:hr="t"/>
        </w:pict>
      </w:r>
    </w:p>
    <w:p>
      <w:pPr>
        <w:pStyle w:val="Heading2"/>
      </w:pPr>
      <w:bookmarkStart w:id="31" w:name="Xe8f14f1107a3d2b172613b468907c39abffd84c"/>
      <w:r>
        <w:t xml:space="preserve">TENSION POINT 6: DSGS Defunding Invalidates Lunar’s Primary Marketing Claim ($464/Year VPP Earnings)</w:t>
      </w:r>
      <w:bookmarkEnd w:id="31"/>
    </w:p>
    <w:p>
      <w:pPr>
        <w:pStyle w:val="FirstParagraph"/>
      </w:pPr>
      <w:r>
        <w:rPr>
          <w:b/>
        </w:rPr>
        <w:t xml:space="preserve">TENSION</w:t>
      </w:r>
      <w:r>
        <w:t xml:space="preserve">: Lunar’s most-cited customer value proposition—</w:t>
      </w:r>
      <w:r>
        <w:t xml:space="preserve">“</w:t>
      </w:r>
      <w:r>
        <w:t xml:space="preserve">$464/year in VPP earnings plus $338 in AI-optimized bill savings = $802/year</w:t>
      </w:r>
      <w:r>
        <w:t xml:space="preserve">”</w:t>
      </w:r>
      <w:r>
        <w:t xml:space="preserve">—is derived primarily from California’s Demand Side Grid Support (DSGS) program. Governor Newsom vetoed DSGS funding. The program will not continue. Lunar’s February 2026 Series D announcement, investor materials, and website continue to cite this figure without disclosing the program’s termination. Sunrun separately offers only $150/battery/season for VPP participation—roughly one-third of Lunar’s claimed $464.</w:t>
      </w:r>
    </w:p>
    <w:p>
      <w:pPr>
        <w:pStyle w:val="BodyText"/>
      </w:pPr>
      <w:r>
        <w:rPr>
          <w:b/>
        </w:rPr>
        <w:t xml:space="preserve">HYPOTHESIS</w:t>
      </w:r>
      <w:r>
        <w:t xml:space="preserve">: Lunar’s real-world VPP earnings for 2026 enrollees will be materially lower than $464/year—likely $150–$300 depending on which replacement programs materialize. Continuing to market the $464 figure creates misrepresentation risk with installers, homeowners, and investors. More importantly, the gap between marketed and actual VPP economics could erode installer trust—the single most important channel relationship. Lunar should proactively reframe the value proposition around the $338 AI optimization savings (which is independently validated by the 14% savings measured in Japan’s ITOCHU fleet) and disclose realistic post-DSGS VPP ranges by market.</w:t>
      </w:r>
    </w:p>
    <w:p>
      <w:pPr>
        <w:pStyle w:val="BodyText"/>
      </w:pPr>
      <w:r>
        <w:rPr>
          <w:b/>
        </w:rPr>
        <w:t xml:space="preserve">CATEGORY</w:t>
      </w:r>
      <w:r>
        <w:t xml:space="preserve">: DEFENSIVE RISK</w:t>
      </w:r>
    </w:p>
    <w:p>
      <w:pPr>
        <w:pStyle w:val="BodyText"/>
      </w:pPr>
      <w:r>
        <w:rPr>
          <w:b/>
        </w:rPr>
        <w:t xml:space="preserve">POTENTIAL MAGNITUDE</w:t>
      </w:r>
      <w:r>
        <w:t xml:space="preserve">: Major (installer trust erosion could stall channel scaling at the worst possible moment)</w:t>
      </w:r>
    </w:p>
    <w:p>
      <w:pPr>
        <w:pStyle w:val="BodyText"/>
      </w:pPr>
      <w:r>
        <w:rPr>
          <w:b/>
        </w:rPr>
        <w:t xml:space="preserve">TIME HORIZON</w:t>
      </w:r>
      <w:r>
        <w:t xml:space="preserve">: Immediate (&lt;6 months)</w:t>
      </w:r>
    </w:p>
    <w:p>
      <w:pPr>
        <w:pStyle w:val="BodyText"/>
      </w:pPr>
      <w:r>
        <w:rPr>
          <w:b/>
        </w:rPr>
        <w:t xml:space="preserve">CONFIDENCE</w:t>
      </w:r>
      <w:r>
        <w:t xml:space="preserve">: High — DSGS defunding is factual; the $464 figure’s dependency on DSGS is documented; continued marketing without disclosure is verifiable</w:t>
      </w:r>
    </w:p>
    <w:p>
      <w:pPr>
        <w:pStyle w:val="BodyText"/>
      </w:pPr>
      <w:r>
        <w:rPr>
          <w:b/>
        </w:rPr>
        <w:t xml:space="preserve">LAYER 2 RESEARCH QUESTION</w:t>
      </w:r>
      <w:r>
        <w:t xml:space="preserve">: (1) What VPP compensation programs are available to Lunar/Sunrun customers in California post-DSGS? What are realistic $/device/year payments under PG&amp;E ELRP, SCE demand response, and CCA programs? (2) What has Sunrun publicly communicated to its VPP enrollees about post-DSGS compensation changes? (3) Are there any pending California legislative or CPUC proceedings to replace DSGS with a successor program? (4) What do Lunar’s installer partner agreements say about VPP earnings representations—is Lunar or the installer liable for unmet savings claims? Check: CPUC docket search for DSGS successor proceedings, Sunrun VPP enrollment terms, California CCA budget documents for 2026 VPP allocations.</w:t>
      </w:r>
    </w:p>
    <w:p>
      <w:r>
        <w:pict>
          <v:rect style="width:0;height:1.5pt" o:hralign="center" o:hrstd="t" o:hr="t"/>
        </w:pict>
      </w:r>
    </w:p>
    <w:p>
      <w:pPr>
        <w:pStyle w:val="Heading2"/>
      </w:pPr>
      <w:bookmarkStart w:id="32" w:name="X9ee2b310d869c9e7f0c36c63bcc833b7ac86c52"/>
      <w:r>
        <w:t xml:space="preserve">TENSION POINT 7: SK On Does Not Commercially Produce LFP Cells in Georgia—Lunar’s Cell Source Is Opaque</w:t>
      </w:r>
      <w:bookmarkEnd w:id="32"/>
    </w:p>
    <w:p>
      <w:pPr>
        <w:pStyle w:val="FirstParagraph"/>
      </w:pPr>
      <w:r>
        <w:rPr>
          <w:b/>
        </w:rPr>
        <w:t xml:space="preserve">TENSION</w:t>
      </w:r>
      <w:r>
        <w:t xml:space="preserve">: Lunar’s stated cell supplier is SK Group, with assembly in Georgia near SK Battery America’s Commerce facility. But SK On’s Georgia plants produce NMC pouch cells for Ford and Hyundai EVs—not LFP prismatic cells for stationary storage. SK On’s LFP production does not begin until H2 2026 (per the Flatiron deal announcement). Meanwhile, Lunar’s website states cells come from</w:t>
      </w:r>
      <w:r>
        <w:t xml:space="preserve"> </w:t>
      </w:r>
      <w:r>
        <w:t xml:space="preserve">“</w:t>
      </w:r>
      <w:r>
        <w:t xml:space="preserve">the United States and Europe,</w:t>
      </w:r>
      <w:r>
        <w:t xml:space="preserve">”</w:t>
      </w:r>
      <w:r>
        <w:t xml:space="preserve"> </w:t>
      </w:r>
      <w:r>
        <w:t xml:space="preserve">while CEO Girotra has said the company</w:t>
      </w:r>
      <w:r>
        <w:t xml:space="preserve"> </w:t>
      </w:r>
      <w:r>
        <w:t xml:space="preserve">“</w:t>
      </w:r>
      <w:r>
        <w:t xml:space="preserve">only contracts with battery manufacturers in the US.</w:t>
      </w:r>
      <w:r>
        <w:t xml:space="preserve">”</w:t>
      </w:r>
      <w:r>
        <w:t xml:space="preserve"> </w:t>
      </w:r>
      <w:r>
        <w:t xml:space="preserve">These statements are mutually inconsistent. At ~200 MWh/year current demand, Lunar is a micro-customer with zero pricing leverage and likely no dual-source arrangement—a critical single point of failure for a life-safety product.</w:t>
      </w:r>
    </w:p>
    <w:p>
      <w:pPr>
        <w:pStyle w:val="BodyText"/>
      </w:pPr>
      <w:r>
        <w:rPr>
          <w:b/>
        </w:rPr>
        <w:t xml:space="preserve">HYPOTHESIS</w:t>
      </w:r>
      <w:r>
        <w:t xml:space="preserve">: Lunar’s current LFP cells are most likely sourced from either (a) SK On’s Hungary facility (the</w:t>
      </w:r>
      <w:r>
        <w:t xml:space="preserve"> </w:t>
      </w:r>
      <w:r>
        <w:t xml:space="preserve">“</w:t>
      </w:r>
      <w:r>
        <w:t xml:space="preserve">Europe</w:t>
      </w:r>
      <w:r>
        <w:t xml:space="preserve">”</w:t>
      </w:r>
      <w:r>
        <w:t xml:space="preserve"> </w:t>
      </w:r>
      <w:r>
        <w:t xml:space="preserve">reference), (b) an undisclosed alternative supplier, or (c) a non-LFP chemistry. Any of these scenarios creates FEOC compliance risk, domestic content qualification risk, or product differentiation risk. As SK On’s Georgia LFP line comes online in H2 2026 (primarily committed to Flatiron’s 7.2 GWh contract), Lunar must secure a dedicated supply allocation—but at 200 MWh/year demand versus Flatiron’s 1,800 MWh/year, Lunar has minimal leverage. The 2 GWh/year demand implied by the 100K unit target would require approximately 9% of SK On Georgia’s total nameplate capacity—a non-trivial allocation that has no public evidence of being contracted.</w:t>
      </w:r>
    </w:p>
    <w:p>
      <w:pPr>
        <w:pStyle w:val="BodyText"/>
      </w:pPr>
      <w:r>
        <w:rPr>
          <w:b/>
        </w:rPr>
        <w:t xml:space="preserve">CATEGORY</w:t>
      </w:r>
      <w:r>
        <w:t xml:space="preserve">: DEFENSIVE RISK</w:t>
      </w:r>
    </w:p>
    <w:p>
      <w:pPr>
        <w:pStyle w:val="BodyText"/>
      </w:pPr>
      <w:r>
        <w:rPr>
          <w:b/>
        </w:rPr>
        <w:t xml:space="preserve">POTENTIAL MAGNITUDE</w:t>
      </w:r>
      <w:r>
        <w:t xml:space="preserve">: Transformational (cell supply disruption or FEOC non-compliance could halt production and invalidate ITC eligibility)</w:t>
      </w:r>
    </w:p>
    <w:p>
      <w:pPr>
        <w:pStyle w:val="BodyText"/>
      </w:pPr>
      <w:r>
        <w:rPr>
          <w:b/>
        </w:rPr>
        <w:t xml:space="preserve">TIME HORIZON</w:t>
      </w:r>
      <w:r>
        <w:t xml:space="preserve">: Near-term (6–18 months — SK On LFP production begins H2 2026; supply must be secured before then)</w:t>
      </w:r>
    </w:p>
    <w:p>
      <w:pPr>
        <w:pStyle w:val="BodyText"/>
      </w:pPr>
      <w:r>
        <w:rPr>
          <w:b/>
        </w:rPr>
        <w:t xml:space="preserve">CONFIDENCE</w:t>
      </w:r>
      <w:r>
        <w:t xml:space="preserve">: High on the factual inconsistency; Medium on the severity (SK’s strategic equity position creates incentive to supply Lunar, even informally)</w:t>
      </w:r>
    </w:p>
    <w:p>
      <w:pPr>
        <w:pStyle w:val="BodyText"/>
      </w:pPr>
      <w:r>
        <w:rPr>
          <w:b/>
        </w:rPr>
        <w:t xml:space="preserve">LAYER 2 RESEARCH QUESTION</w:t>
      </w:r>
      <w:r>
        <w:t xml:space="preserve">: (1) What chemistry do current Lunar System batteries actually use—LFP or NMC? Check UL 9540 certification filings, California fire marshal battery storage permits, and product spec sheets. (2) What is the specific origin of Lunar’s current battery cells? Check import records (US Customs Bill of Lading data via ImportGenius/Panjiva for shipments to Lunar Energy or associated entities from SK On Hungary, SK On Korea, or other battery manufacturers). (3) Has Lunar or SK disclosed a formal cell supply agreement (offtake contract) with volume commitments, pricing tiers, and exclusivity provisions? (4) What fraction of SK On Georgia’s LFP capacity is committed to Flatiron vs. available for other customers after H2 2026?</w:t>
      </w:r>
    </w:p>
    <w:p>
      <w:r>
        <w:pict>
          <v:rect style="width:0;height:1.5pt" o:hralign="center" o:hrstd="t" o:hr="t"/>
        </w:pict>
      </w:r>
    </w:p>
    <w:p>
      <w:pPr>
        <w:pStyle w:val="Heading2"/>
      </w:pPr>
      <w:bookmarkStart w:id="33" w:name="X1bf56e1d7992e40ad9088ebbe11ebd700cf6116"/>
      <w:r>
        <w:t xml:space="preserve">TENSION POINT 8: Sunrun Promotes Tesla Powerwall as Its Preferred Battery While Chairing Lunar’s Board</w:t>
      </w:r>
      <w:bookmarkEnd w:id="33"/>
    </w:p>
    <w:p>
      <w:pPr>
        <w:pStyle w:val="FirstParagraph"/>
      </w:pPr>
      <w:r>
        <w:rPr>
          <w:b/>
        </w:rPr>
        <w:t xml:space="preserve">TENSION</w:t>
      </w:r>
      <w:r>
        <w:t xml:space="preserve">: Sunrun’s customer-facing website directs homeowners to Tesla Powerwall 3 as</w:t>
      </w:r>
      <w:r>
        <w:t xml:space="preserve"> </w:t>
      </w:r>
      <w:r>
        <w:t xml:space="preserve">“</w:t>
      </w:r>
      <w:r>
        <w:t xml:space="preserve">one of the most trusted energy storage solutions available.</w:t>
      </w:r>
      <w:r>
        <w:t xml:space="preserve">”</w:t>
      </w:r>
      <w:r>
        <w:t xml:space="preserve"> </w:t>
      </w:r>
      <w:r>
        <w:t xml:space="preserve">Sunrun’s Texas VPP uses Tesla hardware. Sunrun’s CalReady program (75,000 installations) runs primarily on Tesla. Simultaneously, Sunrun co-executive chair Lynn Jurich chairs Lunar’s board, Sunrun is Lunar’s largest investor, primary distribution channel, and dominant Gridshare customer. No governance framework for managing this conflict has been publicly disclosed. Within Sunrun’s VPP architecture, Tesla’s platform manages Powerwalls while Gridshare manages non-Tesla batteries—meaning as Sunrun’s fleet becomes increasingly Powerwall-dominated, Gridshare’s operational footprint shrinks proportionally.</w:t>
      </w:r>
    </w:p>
    <w:p>
      <w:pPr>
        <w:pStyle w:val="BodyText"/>
      </w:pPr>
      <w:r>
        <w:rPr>
          <w:b/>
        </w:rPr>
        <w:t xml:space="preserve">HYPOTHESIS</w:t>
      </w:r>
      <w:r>
        <w:t xml:space="preserve">: Sunrun’s relationship with Lunar is primarily a software relationship (Gridshare managing non-Tesla VPP assets), not a hardware relationship. Lunar hardware is likely a minority of Sunrun’s battery deployments, with Tesla dominating. The board chair arrangement gives Sunrun visibility into Lunar’s roadmap, pricing, and competitive strategy while Sunrun actively promotes a competitor’s hardware. This is not a conflict being managed—it is a conflict being normalized. Lunar’s strategic response should be to aggressively build non-Sunrun distribution (Greentech Renewables, independent installer networks, utility white-label programs) to reduce Sunrun concentration below 30% of hardware revenue within 18 months.</w:t>
      </w:r>
    </w:p>
    <w:p>
      <w:pPr>
        <w:pStyle w:val="BodyText"/>
      </w:pPr>
      <w:r>
        <w:rPr>
          <w:b/>
        </w:rPr>
        <w:t xml:space="preserve">CATEGORY</w:t>
      </w:r>
      <w:r>
        <w:t xml:space="preserve">: DEFENSIVE RISK</w:t>
      </w:r>
    </w:p>
    <w:p>
      <w:pPr>
        <w:pStyle w:val="BodyText"/>
      </w:pPr>
      <w:r>
        <w:rPr>
          <w:b/>
        </w:rPr>
        <w:t xml:space="preserve">POTENTIAL MAGNITUDE</w:t>
      </w:r>
      <w:r>
        <w:t xml:space="preserve">: Transformational (Sunrun controls Lunar’s primary distribution channel, software revenue, and board governance simultaneously)</w:t>
      </w:r>
    </w:p>
    <w:p>
      <w:pPr>
        <w:pStyle w:val="BodyText"/>
      </w:pPr>
      <w:r>
        <w:rPr>
          <w:b/>
        </w:rPr>
        <w:t xml:space="preserve">TIME HORIZON</w:t>
      </w:r>
      <w:r>
        <w:t xml:space="preserve">: Near-term (6–18 months — channel diversification timeline)</w:t>
      </w:r>
    </w:p>
    <w:p>
      <w:pPr>
        <w:pStyle w:val="BodyText"/>
      </w:pPr>
      <w:r>
        <w:rPr>
          <w:b/>
        </w:rPr>
        <w:t xml:space="preserve">CONFIDENCE</w:t>
      </w:r>
      <w:r>
        <w:t xml:space="preserve">: High — all facts are documented in public sources; the structural conflict is visible to anyone who examines both companies’ public materials</w:t>
      </w:r>
    </w:p>
    <w:p>
      <w:pPr>
        <w:pStyle w:val="BodyText"/>
      </w:pPr>
      <w:r>
        <w:rPr>
          <w:b/>
        </w:rPr>
        <w:t xml:space="preserve">LAYER 2 RESEARCH QUESTION</w:t>
      </w:r>
      <w:r>
        <w:t xml:space="preserve">: (1) What percentage of Sunrun’s Q3/Q4 2025 battery installations used Lunar hardware vs. Tesla Powerwall vs. FranklinWH? Check: Sunrun earnings call transcripts for brand-specific hardware breakdowns; installer forum discussions; California interconnection data (SGIP or NEM database) that may list battery manufacturer by installer. (2) What are the terms of Lynn Jurich’s recusal policy (if any) when Lunar board discusses Sunrun-related commercial terms? (3) Has Sunrun filed any SEC disclosures (proxy, 10-K related party transactions) describing the Lunar commercial relationship, pricing terms, or volume commitments? (4) What alternative national distributors (Greentech Renewables, CED, Soligent) currently carry Lunar products, and at what volume?</w:t>
      </w:r>
    </w:p>
    <w:p>
      <w:r>
        <w:pict>
          <v:rect style="width:0;height:1.5pt" o:hralign="center" o:hrstd="t" o:hr="t"/>
        </w:pict>
      </w:r>
    </w:p>
    <w:p>
      <w:pPr>
        <w:pStyle w:val="Heading2"/>
      </w:pPr>
      <w:bookmarkStart w:id="34" w:name="X9ce84ff17e249e856a4fc225d7eee24a7c87603"/>
      <w:r>
        <w:t xml:space="preserve">TENSION POINT 9: Mountain View Facility (~35,000 sq ft) Is Running at ~20% Production Utilization While Costing $1.5–2M/Year</w:t>
      </w:r>
      <w:bookmarkEnd w:id="34"/>
    </w:p>
    <w:p>
      <w:pPr>
        <w:pStyle w:val="FirstParagraph"/>
      </w:pPr>
      <w:r>
        <w:rPr>
          <w:b/>
        </w:rPr>
        <w:t xml:space="preserve">TENSION</w:t>
      </w:r>
      <w:r>
        <w:t xml:space="preserve">: Lunar’s Mountain View HQ houses engineering and a pilot line at 35,000 sq ft, estimated at $1.5–2M/year in occupancy cost. Production utilization is approximately 20%, with primary assembly occurring in Georgia and Washington. The Bay Area has intense demand for industrial flex space ($33–44/sq ft) and a dense ecosystem of hardware startups needing environmental testing chambers, reliability labs, and UL-level electrical safety infrastructure that Lunar almost certainly maintains on-site.</w:t>
      </w:r>
    </w:p>
    <w:p>
      <w:pPr>
        <w:pStyle w:val="BodyText"/>
      </w:pPr>
      <w:r>
        <w:rPr>
          <w:b/>
        </w:rPr>
        <w:t xml:space="preserve">HYPOTHESIS</w:t>
      </w:r>
      <w:r>
        <w:t xml:space="preserve">: Lunar should sublease 15,000–20,000 sq ft of underutilized space and/or commercialize its testing infrastructure as a service to Bay Area battery, EV, and power electronics startups. At $33–44/sq ft, subleasing could generate $500K–$880K/year. Testing-as-a-service (environmental chambers, vibration testing, UL safety testing) for hardware startups that lack their own facilities could generate an additional $500K–$2M/year—while providing intelligence on emerging competitive technologies. Total opportunity: $1–3M/year against $2M in facility costs, potentially converting a fixed cost drag into a breakeven or revenue-positive operation.</w:t>
      </w:r>
    </w:p>
    <w:p>
      <w:pPr>
        <w:pStyle w:val="BodyText"/>
      </w:pPr>
      <w:r>
        <w:rPr>
          <w:b/>
        </w:rPr>
        <w:t xml:space="preserve">CATEGORY</w:t>
      </w:r>
      <w:r>
        <w:t xml:space="preserve">: OFFENSIVE OPPORTUNITY (asset optimization)</w:t>
      </w:r>
    </w:p>
    <w:p>
      <w:pPr>
        <w:pStyle w:val="BodyText"/>
      </w:pPr>
      <w:r>
        <w:rPr>
          <w:b/>
        </w:rPr>
        <w:t xml:space="preserve">POTENTIAL MAGNITUDE</w:t>
      </w:r>
      <w:r>
        <w:t xml:space="preserve">: Moderate ($1–3M/year; more significant as a signal of operational discipline)</w:t>
      </w:r>
    </w:p>
    <w:p>
      <w:pPr>
        <w:pStyle w:val="BodyText"/>
      </w:pPr>
      <w:r>
        <w:rPr>
          <w:b/>
        </w:rPr>
        <w:t xml:space="preserve">TIME HORIZON</w:t>
      </w:r>
      <w:r>
        <w:t xml:space="preserve">: Near-term (6–18 months)</w:t>
      </w:r>
    </w:p>
    <w:p>
      <w:pPr>
        <w:pStyle w:val="BodyText"/>
      </w:pPr>
      <w:r>
        <w:rPr>
          <w:b/>
        </w:rPr>
        <w:t xml:space="preserve">CONFIDENCE</w:t>
      </w:r>
      <w:r>
        <w:t xml:space="preserve">: Medium — space availability and demand are well-documented; execution depends on lease terms, tenant improvement obligations, and whether lab infrastructure can be shared without IP risk</w:t>
      </w:r>
    </w:p>
    <w:p>
      <w:pPr>
        <w:pStyle w:val="BodyText"/>
      </w:pPr>
      <w:r>
        <w:rPr>
          <w:b/>
        </w:rPr>
        <w:t xml:space="preserve">LAYER 2 RESEARCH QUESTION</w:t>
      </w:r>
      <w:r>
        <w:t xml:space="preserve">: (1) What are the specific terms of Lunar’s Mountain View lease—does it permit subleasing? What TI (tenant improvement) obligations exist? (2) What Bay Area testing-as-a-service facilities currently exist (e.g., UL’s own labs, Element Materials Technology, NTS) and what do they charge for environmental/reliability testing of battery systems? (3) What is the actual inventory of testing equipment at Mountain View (environmental chambers, vibration tables, electrical safety test sets, battery cycling equipment) and what is the market rate for hourly/daily access? (4) Are there confidentiality or IP concerns that would prevent sharing test infrastructure with non-competing companies?</w:t>
      </w:r>
    </w:p>
    <w:p>
      <w:r>
        <w:pict>
          <v:rect style="width:0;height:1.5pt" o:hralign="center" o:hrstd="t" o:hr="t"/>
        </w:pict>
      </w:r>
    </w:p>
    <w:p>
      <w:pPr>
        <w:pStyle w:val="Heading2"/>
      </w:pPr>
      <w:bookmarkStart w:id="35" w:name="Xf2ee001e6d93a5513c2a3056c3ed1a6d77a15a3"/>
      <w:r>
        <w:t xml:space="preserve">TENSION POINT 10: 1M+</w:t>
      </w:r>
      <w:r>
        <w:t xml:space="preserve"> </w:t>
      </w:r>
      <w:r>
        <w:t xml:space="preserve">“</w:t>
      </w:r>
      <w:r>
        <w:t xml:space="preserve">Solar Orphan</w:t>
      </w:r>
      <w:r>
        <w:t xml:space="preserve">”</w:t>
      </w:r>
      <w:r>
        <w:t xml:space="preserve"> </w:t>
      </w:r>
      <w:r>
        <w:t xml:space="preserve">Customers From SunPower/Titan/ADT Bankruptcies Represent an Unaddressed Retrofit Market</w:t>
      </w:r>
      <w:bookmarkEnd w:id="35"/>
    </w:p>
    <w:p>
      <w:pPr>
        <w:pStyle w:val="FirstParagraph"/>
      </w:pPr>
      <w:r>
        <w:rPr>
          <w:b/>
        </w:rPr>
        <w:t xml:space="preserve">TENSION</w:t>
      </w:r>
      <w:r>
        <w:t xml:space="preserve">: SunPower, Titan Solar, and ADT Solar bankruptcies in 2024 stranded an estimated 1M+ residential solar customers with no incumbent service provider, no warranty support, and no easy path to add battery storage. These customers have existing solar arrays but no battery—precisely the retrofit opportunity Lunar’s DC-coupled architecture is designed for. Lunar’s Maximizer optimizers can integrate with diverse solar panel configurations. Yet no Lunar marketing, partnership, or channel strategy targeting solar orphans has been publicly disclosed.</w:t>
      </w:r>
    </w:p>
    <w:p>
      <w:pPr>
        <w:pStyle w:val="BodyText"/>
      </w:pPr>
      <w:r>
        <w:rPr>
          <w:b/>
        </w:rPr>
        <w:t xml:space="preserve">HYPOTHESIS</w:t>
      </w:r>
      <w:r>
        <w:t xml:space="preserve">: Solar orphan customers represent the lowest customer acquisition cost (CAC) segment in the residential battery market: they already have solar, already understand the value proposition, already have electrical infrastructure, and are actively seeking a service provider. A targeted</w:t>
      </w:r>
      <w:r>
        <w:t xml:space="preserve"> </w:t>
      </w:r>
      <w:r>
        <w:t xml:space="preserve">“</w:t>
      </w:r>
      <w:r>
        <w:t xml:space="preserve">Solar Rescue</w:t>
      </w:r>
      <w:r>
        <w:t xml:space="preserve">”</w:t>
      </w:r>
      <w:r>
        <w:t xml:space="preserve"> </w:t>
      </w:r>
      <w:r>
        <w:t xml:space="preserve">program—offering Lunar battery retrofits at a modest discount with Gridshare enrollment and VPP participation—could capture 5,000–10,000 units/year from this segment alone. The channel strategy: partner with the independent installers who are already picking up orphaned solar maintenance contracts (these installers are actively looking for battery brands to recommend). This simultaneously builds the installer network and captures a high-intent customer segment.</w:t>
      </w:r>
    </w:p>
    <w:p>
      <w:pPr>
        <w:pStyle w:val="BodyText"/>
      </w:pPr>
      <w:r>
        <w:rPr>
          <w:b/>
        </w:rPr>
        <w:t xml:space="preserve">CATEGORY</w:t>
      </w:r>
      <w:r>
        <w:t xml:space="preserve">: OFFENSIVE OPPORTUNITY</w:t>
      </w:r>
    </w:p>
    <w:p>
      <w:pPr>
        <w:pStyle w:val="BodyText"/>
      </w:pPr>
      <w:r>
        <w:rPr>
          <w:b/>
        </w:rPr>
        <w:t xml:space="preserve">POTENTIAL MAGNITUDE</w:t>
      </w:r>
      <w:r>
        <w:t xml:space="preserve">: Major (5,000–10,000 units/year from a single customer segment; simultaneous installer network expansion)</w:t>
      </w:r>
    </w:p>
    <w:p>
      <w:pPr>
        <w:pStyle w:val="BodyText"/>
      </w:pPr>
      <w:r>
        <w:rPr>
          <w:b/>
        </w:rPr>
        <w:t xml:space="preserve">TIME HORIZON</w:t>
      </w:r>
      <w:r>
        <w:t xml:space="preserve">: Immediate (&lt;6 months — these customers are actively seeking solutions now; first-mover advantage is time-limited)</w:t>
      </w:r>
    </w:p>
    <w:p>
      <w:pPr>
        <w:pStyle w:val="BodyText"/>
      </w:pPr>
      <w:r>
        <w:rPr>
          <w:b/>
        </w:rPr>
        <w:t xml:space="preserve">CONFIDENCE</w:t>
      </w:r>
      <w:r>
        <w:t xml:space="preserve">: Medium-High — the orphan customer base is documented; the retrofit opportunity is real; uncertainty is around whether Lunar’s DC architecture integrates seamlessly with legacy SunPower/Titan panel configurations and whether installers servicing orphan accounts would choose Lunar over FranklinWH or Enphase</w:t>
      </w:r>
    </w:p>
    <w:p>
      <w:pPr>
        <w:pStyle w:val="BodyText"/>
      </w:pPr>
      <w:r>
        <w:rPr>
          <w:b/>
        </w:rPr>
        <w:t xml:space="preserve">LAYER 2 RESEARCH QUESTION</w:t>
      </w:r>
      <w:r>
        <w:t xml:space="preserve">: (1) How many SunPower, Titan Solar, and ADT Solar customers are in California specifically, and what percentage have battery-less solar installations? Check: SunPower bankruptcy filings (customer count disclosures), California NEM interconnection database (systems registered without storage). (2) Which independent solar companies are picking up SunPower orphan maintenance contracts in California? These are the natural Lunar installer partners for this segment. (3) What are the specific technical requirements for retrofitting a Lunar System into an existing SunPower Equinox or Titan Solar installation—does DC coupling work, or does AC coupling (which Lunar also supports) become necessary? (4) Has FranklinWH or Enphase launched a targeted solar orphan program? Check their marketing channels and installer communications.</w:t>
      </w:r>
    </w:p>
    <w:p>
      <w:r>
        <w:pict>
          <v:rect style="width:0;height:1.5pt" o:hralign="center" o:hrstd="t" o:hr="t"/>
        </w:pict>
      </w:r>
    </w:p>
    <w:p>
      <w:pPr>
        <w:pStyle w:val="Heading2"/>
      </w:pPr>
      <w:bookmarkStart w:id="36" w:name="X2bb381568702a67b362b047ac7df125124c2b43"/>
      <w:r>
        <w:t xml:space="preserve">TENSION POINT 11: Lunar’s 3-Hour Installation Time Is a Unit Economics Advantage Worth $3,000–$5,000 Per Install Crew Day—and It’s Buried in Spec Sheets</w:t>
      </w:r>
      <w:bookmarkEnd w:id="36"/>
    </w:p>
    <w:p>
      <w:pPr>
        <w:pStyle w:val="FirstParagraph"/>
      </w:pPr>
      <w:r>
        <w:rPr>
          <w:b/>
        </w:rPr>
        <w:t xml:space="preserve">TENSION</w:t>
      </w:r>
      <w:r>
        <w:t xml:space="preserve">: Lunar System installs in approximately 3 hours—compared to 4–8 hours for Tesla Powerwall and 6–10 hours for most competitors. This means a single installation crew can complete 2 Lunar installs per day vs. 1 for Powerwall. At $1,500–$3,000 in labor per install, the per-crew daily throughput doubles—saving $3,000–$5,000 per crew per day. For an installer running 5 crews, that’s $15,000–$25,000/week in labor efficiency. This is the most powerful installer-facing economic argument Lunar has—and it is almost entirely absent from the company’s public positioning, buried in technical specifications rather than leading the sales narrative.</w:t>
      </w:r>
    </w:p>
    <w:p>
      <w:pPr>
        <w:pStyle w:val="BodyText"/>
      </w:pPr>
      <w:r>
        <w:rPr>
          <w:b/>
        </w:rPr>
        <w:t xml:space="preserve">HYPOTHESIS</w:t>
      </w:r>
      <w:r>
        <w:t xml:space="preserve">: Installation speed should be the #1 message in every installer recruitment conversation—ahead of VPP earnings, aesthetics, or DC architecture. A targeted</w:t>
      </w:r>
      <w:r>
        <w:t xml:space="preserve"> </w:t>
      </w:r>
      <w:r>
        <w:t xml:space="preserve">“</w:t>
      </w:r>
      <w:r>
        <w:t xml:space="preserve">2-a-Day</w:t>
      </w:r>
      <w:r>
        <w:t xml:space="preserve">”</w:t>
      </w:r>
      <w:r>
        <w:t xml:space="preserve"> </w:t>
      </w:r>
      <w:r>
        <w:t xml:space="preserve">installer certification marketing campaign, quantifying the per-crew economic advantage in dollar terms, would directly address the #1 and #2 installer selection criteria (margin and installation speed). Lunar should create a public installer economics calculator showing side-by-side labor economics vs. Powerwall and FranklinWH, and embed it in every certification training program. This alone could accelerate installer recruitment from 40 to 200+ partners within 12 months.</w:t>
      </w:r>
    </w:p>
    <w:p>
      <w:pPr>
        <w:pStyle w:val="BodyText"/>
      </w:pPr>
      <w:r>
        <w:rPr>
          <w:b/>
        </w:rPr>
        <w:t xml:space="preserve">CATEGORY</w:t>
      </w:r>
      <w:r>
        <w:t xml:space="preserve">: OFFENSIVE OPPORTUNITY</w:t>
      </w:r>
    </w:p>
    <w:p>
      <w:pPr>
        <w:pStyle w:val="BodyText"/>
      </w:pPr>
      <w:r>
        <w:rPr>
          <w:b/>
        </w:rPr>
        <w:t xml:space="preserve">POTENTIAL MAGNITUDE</w:t>
      </w:r>
      <w:r>
        <w:t xml:space="preserve">: Major (installer recruitment is the binding constraint; this is the most compelling argument to break it)</w:t>
      </w:r>
    </w:p>
    <w:p>
      <w:pPr>
        <w:pStyle w:val="BodyText"/>
      </w:pPr>
      <w:r>
        <w:rPr>
          <w:b/>
        </w:rPr>
        <w:t xml:space="preserve">TIME HORIZON</w:t>
      </w:r>
      <w:r>
        <w:t xml:space="preserve">: Immediate (&lt;6 months)</w:t>
      </w:r>
    </w:p>
    <w:p>
      <w:pPr>
        <w:pStyle w:val="BodyText"/>
      </w:pPr>
      <w:r>
        <w:rPr>
          <w:b/>
        </w:rPr>
        <w:t xml:space="preserve">CONFIDENCE</w:t>
      </w:r>
      <w:r>
        <w:t xml:space="preserve">: High — the 3-hour install time is documented; installer economics are straightforward arithmetic; installer selection criteria are well-researched</w:t>
      </w:r>
    </w:p>
    <w:p>
      <w:pPr>
        <w:pStyle w:val="BodyText"/>
      </w:pPr>
      <w:r>
        <w:rPr>
          <w:b/>
        </w:rPr>
        <w:t xml:space="preserve">LAYER 2 RESEARCH QUESTION</w:t>
      </w:r>
      <w:r>
        <w:t xml:space="preserve">: (1) What is the actual measured installation time for a Lunar System across the 40 current partners—is 3 hours the median, or the best-case? Collect field data from 5–10 installer partners. (2) What are FranklinWH’s and Enphase’s comparable installation times under real field conditions (not spec sheet claims)? (3) How does Lunar’s single-50A-breaker permitting requirement compare to competitors’ permitting complexity, and what is the time-value of simplified permitting in major California jurisdictions (San Jose, LA County, Orange County)? (4) Has any competitor launched an installer-facing economic comparison tool? If not, this is a first-mover messaging opportunity.</w:t>
      </w:r>
    </w:p>
    <w:p>
      <w:r>
        <w:pict>
          <v:rect style="width:0;height:1.5pt" o:hralign="center" o:hrstd="t" o:hr="t"/>
        </w:pict>
      </w:r>
    </w:p>
    <w:p>
      <w:pPr>
        <w:pStyle w:val="Heading2"/>
      </w:pPr>
      <w:bookmarkStart w:id="37" w:name="Xc7789309c79656aae7c5da80f57445683dff2db"/>
      <w:r>
        <w:t xml:space="preserve">TENSION POINT 12: Japan’s 2026 VPP Market Opening With 35,000+ Gridshare-Managed Homes Is the Nearest-Term Revenue Catalyst—But Lunar Holds It Through a Minority Stake</w:t>
      </w:r>
      <w:bookmarkEnd w:id="37"/>
    </w:p>
    <w:p>
      <w:pPr>
        <w:pStyle w:val="FirstParagraph"/>
      </w:pPr>
      <w:r>
        <w:rPr>
          <w:b/>
        </w:rPr>
        <w:t xml:space="preserve">TENSION</w:t>
      </w:r>
      <w:r>
        <w:t xml:space="preserve">: Starting in 2026, Japanese residential DERs become eligible for transmission-level capacity and balancing market participation for the first time. Gridshare already manages 35,000+ ITOCHU Smart Star batteries and has completed VPP trials with TEPCO, Chubu, Kyushu, and Tohoku Electric. METI has allocated ¥9B ($58M) in subsidies for battery aggregation. Gridshare demonstrated 48-hour forecasting capability that dispatched 60% more energy than competitors in Japanese trials. However, Lunar restructured Japan operations in December 2025 by taking a minority stake in ITOCHU’s GridShare Japan (GSJ) subsidiary alongside Japanese utility co-investors—meaning Lunar captures licensing revenue and equity upside but does not control operations, pricing, or commercial decisions.</w:t>
      </w:r>
    </w:p>
    <w:p>
      <w:pPr>
        <w:pStyle w:val="BodyText"/>
      </w:pPr>
      <w:r>
        <w:rPr>
          <w:b/>
        </w:rPr>
        <w:t xml:space="preserve">HYPOTHESIS</w:t>
      </w:r>
      <w:r>
        <w:t xml:space="preserve">: The Japan 2026 market opening could generate $5–15M/year in incremental Gridshare licensing revenue from GSJ within 12–18 months—potentially the fastest-growing and highest-margin revenue line in Lunar’s portfolio. The critical question is what licensing terms Lunar UK has with GSJ: is it a fixed annual fee, a per-device fee, a revenue share on VPP dispatch, or some combination? If Lunar’s licensing agreement with GSJ is a fixed fee (negotiated when the fleet was smaller and pre-market-opening), Lunar may be dramatically undercharging for what is about to become a high-value commercial platform. Lunar should renegotiate GSJ licensing terms before the 2026 market revenues materialize—or negotiate for a larger equity stake in GSJ while it is still pre-revenue from capacity/balancing markets.</w:t>
      </w:r>
    </w:p>
    <w:p>
      <w:pPr>
        <w:pStyle w:val="BodyText"/>
      </w:pPr>
      <w:r>
        <w:rPr>
          <w:b/>
        </w:rPr>
        <w:t xml:space="preserve">CATEGORY</w:t>
      </w:r>
      <w:r>
        <w:t xml:space="preserve">: OFFENSIVE OPPORTUNITY</w:t>
      </w:r>
    </w:p>
    <w:p>
      <w:pPr>
        <w:pStyle w:val="BodyText"/>
      </w:pPr>
      <w:r>
        <w:rPr>
          <w:b/>
        </w:rPr>
        <w:t xml:space="preserve">POTENTIAL MAGNITUDE</w:t>
      </w:r>
      <w:r>
        <w:t xml:space="preserve">: Major ($5–15M/year near-term; $30–50M/year if Japan fleet scales to 100,000+ homes)</w:t>
      </w:r>
    </w:p>
    <w:p>
      <w:pPr>
        <w:pStyle w:val="BodyText"/>
      </w:pPr>
      <w:r>
        <w:rPr>
          <w:b/>
        </w:rPr>
        <w:t xml:space="preserve">TIME HORIZON</w:t>
      </w:r>
      <w:r>
        <w:t xml:space="preserve">: Immediate (&lt;6 months — market opens 2026; licensing terms should be renegotiated before revenue flows)</w:t>
      </w:r>
    </w:p>
    <w:p>
      <w:pPr>
        <w:pStyle w:val="BodyText"/>
      </w:pPr>
      <w:r>
        <w:rPr>
          <w:b/>
        </w:rPr>
        <w:t xml:space="preserve">CONFIDENCE</w:t>
      </w:r>
      <w:r>
        <w:t xml:space="preserve">: Medium — the market opening is confirmed; Gridshare’s position is strong; uncertainty is around GSJ licensing terms and Lunar’s ability to renegotiate given minority position</w:t>
      </w:r>
    </w:p>
    <w:p>
      <w:pPr>
        <w:pStyle w:val="BodyText"/>
      </w:pPr>
      <w:r>
        <w:rPr>
          <w:b/>
        </w:rPr>
        <w:t xml:space="preserve">LAYER 2 RESEARCH QUESTION</w:t>
      </w:r>
      <w:r>
        <w:t xml:space="preserve">: (1) What are the specific financial terms of Lunar UK’s technology licensing agreement with GSJ—per-device fee, revenue share, or fixed annual payment? Check: UK Companies House filings for Lunar Energy Limited (may disclose related-party transaction terms); ITOCHU annual securities report for GSJ-related disclosures. (2) What capacity market clearing prices were observed in Japan’s 2025 capacity market auction, and what revenue per kW/year do participating battery aggregators earn? (3) What is Lunar’s equity percentage in GSJ post the December 2025 restructuring? (4) How many total residential batteries are projected to participate in Japan’s capacity/balancing markets in 2026–2027, and what is Gridshare’s estimated market share?</w:t>
      </w:r>
    </w:p>
    <w:p>
      <w:r>
        <w:pict>
          <v:rect style="width:0;height:1.5pt" o:hralign="center" o:hrstd="t" o:hr="t"/>
        </w:pict>
      </w:r>
    </w:p>
    <w:p>
      <w:pPr>
        <w:pStyle w:val="Heading2"/>
      </w:pPr>
      <w:bookmarkStart w:id="38" w:name="X424e45dcf0670ad0141a9affd618ba609f1195f"/>
      <w:r>
        <w:t xml:space="preserve">TENSION POINT 13: Eaton Partnership Is Dramatically Underleveraged—$23B Revenue Company Is Named</w:t>
      </w:r>
      <w:r>
        <w:t xml:space="preserve"> </w:t>
      </w:r>
      <w:r>
        <w:t xml:space="preserve">“</w:t>
      </w:r>
      <w:r>
        <w:t xml:space="preserve">Preferred Supplier</w:t>
      </w:r>
      <w:r>
        <w:t xml:space="preserve">”</w:t>
      </w:r>
      <w:r>
        <w:t xml:space="preserve"> </w:t>
      </w:r>
      <w:r>
        <w:t xml:space="preserve">But Treated as a Component Vendor</w:t>
      </w:r>
      <w:bookmarkEnd w:id="38"/>
    </w:p>
    <w:p>
      <w:pPr>
        <w:pStyle w:val="FirstParagraph"/>
      </w:pPr>
      <w:r>
        <w:rPr>
          <w:b/>
        </w:rPr>
        <w:t xml:space="preserve">TENSION</w:t>
      </w:r>
      <w:r>
        <w:t xml:space="preserve">: Eaton ($23.2B annual revenue, deep US manufacturing infrastructure, nationwide electrical contractor relationships) announced a collaboration with Lunar in 2024 to integrate AbleEdge smart breakers with the Lunar Bridge. Eaton is named as Lunar’s</w:t>
      </w:r>
      <w:r>
        <w:t xml:space="preserve"> </w:t>
      </w:r>
      <w:r>
        <w:t xml:space="preserve">“</w:t>
      </w:r>
      <w:r>
        <w:t xml:space="preserve">preferred supplier for load management.</w:t>
      </w:r>
      <w:r>
        <w:t xml:space="preserve">”</w:t>
      </w:r>
      <w:r>
        <w:t xml:space="preserve"> </w:t>
      </w:r>
      <w:r>
        <w:t xml:space="preserve">Yet the relationship appears limited to component integration—no joint distribution, no co-marketing, no manufacturing support, no supply chain collaboration. Eaton has the procurement scale, distribution network (tens of thousands of electrical contractor relationships), and manufacturing capability to solve multiple Lunar constraints simultaneously.</w:t>
      </w:r>
    </w:p>
    <w:p>
      <w:pPr>
        <w:pStyle w:val="BodyText"/>
      </w:pPr>
      <w:r>
        <w:rPr>
          <w:b/>
        </w:rPr>
        <w:t xml:space="preserve">HYPOTHESIS</w:t>
      </w:r>
      <w:r>
        <w:t xml:space="preserve">: Deepening the Eaton partnership from component integration to strategic alliance could simultaneously: (a) provide access to Eaton’s electrical contractor network for installer recruitment (potentially adding hundreds of certified partners), (b) enable Eaton’s procurement scale for power electronics components (reducing inverter BOM costs), (c) position Eaton as a manufacturing partner or acquirer (Eaton has made 8+ acquisitions in the $100M–$5B range in the last decade), and (d) create a co-branded</w:t>
      </w:r>
      <w:r>
        <w:t xml:space="preserve"> </w:t>
      </w:r>
      <w:r>
        <w:t xml:space="preserve">“</w:t>
      </w:r>
      <w:r>
        <w:t xml:space="preserve">Eaton + Lunar</w:t>
      </w:r>
      <w:r>
        <w:t xml:space="preserve">”</w:t>
      </w:r>
      <w:r>
        <w:t xml:space="preserve"> </w:t>
      </w:r>
      <w:r>
        <w:t xml:space="preserve">whole-home electrification package. Eaton’s existing xStorage residential battery offering in Europe has been lukewarm—they may be looking for a US residential storage platform acquisition to complement their commercial EMS business.</w:t>
      </w:r>
    </w:p>
    <w:p>
      <w:pPr>
        <w:pStyle w:val="BodyText"/>
      </w:pPr>
      <w:r>
        <w:rPr>
          <w:b/>
        </w:rPr>
        <w:t xml:space="preserve">CATEGORY</w:t>
      </w:r>
      <w:r>
        <w:t xml:space="preserve">: OFFENSIVE OPPORTUNITY / STRUCTURAL UNLOCK</w:t>
      </w:r>
    </w:p>
    <w:p>
      <w:pPr>
        <w:pStyle w:val="BodyText"/>
      </w:pPr>
      <w:r>
        <w:rPr>
          <w:b/>
        </w:rPr>
        <w:t xml:space="preserve">POTENTIAL MAGNITUDE</w:t>
      </w:r>
      <w:r>
        <w:t xml:space="preserve">: Transformational (access to Eaton’s 50,000+ electrical contractor relationships alone would transform Lunar’s installer constraint)</w:t>
      </w:r>
    </w:p>
    <w:p>
      <w:pPr>
        <w:pStyle w:val="BodyText"/>
      </w:pPr>
      <w:r>
        <w:rPr>
          <w:b/>
        </w:rPr>
        <w:t xml:space="preserve">TIME HORIZON</w:t>
      </w:r>
      <w:r>
        <w:t xml:space="preserve">: Near-term (6–18 months)</w:t>
      </w:r>
    </w:p>
    <w:p>
      <w:pPr>
        <w:pStyle w:val="BodyText"/>
      </w:pPr>
      <w:r>
        <w:rPr>
          <w:b/>
        </w:rPr>
        <w:t xml:space="preserve">CONFIDENCE</w:t>
      </w:r>
      <w:r>
        <w:t xml:space="preserve">: Medium — the partnership exists and is public; the depth of commercial opportunity is logical but unverified; Eaton’s residential storage ambitions are unclear</w:t>
      </w:r>
    </w:p>
    <w:p>
      <w:pPr>
        <w:pStyle w:val="BodyText"/>
      </w:pPr>
      <w:r>
        <w:rPr>
          <w:b/>
        </w:rPr>
        <w:t xml:space="preserve">LAYER 2 RESEARCH QUESTION</w:t>
      </w:r>
      <w:r>
        <w:t xml:space="preserve">: (1) What is the current scope and commercial terms of the Eaton-Lunar partnership—is it exclusive? Are there volume commitments or co-marketing budgets? (2) Has Eaton made any public statements about residential battery storage strategy or M&amp;A interest in the US residential market? Check: Eaton investor day presentations, earnings call transcripts, and M&amp;A announcements. (3) How large is Eaton’s US electrical contractor network, and what fraction installs residential battery storage? (4) What was the outcome of Eaton’s European xStorage Home residential battery product—did it succeed or was it discontinued? This would signal Eaton’s appetite for a US residential storage play.</w:t>
      </w:r>
    </w:p>
    <w:p>
      <w:r>
        <w:pict>
          <v:rect style="width:0;height:1.5pt" o:hralign="center" o:hrstd="t" o:hr="t"/>
        </w:pict>
      </w:r>
    </w:p>
    <w:p>
      <w:pPr>
        <w:pStyle w:val="Heading2"/>
      </w:pPr>
      <w:bookmarkStart w:id="39" w:name="Xbc05cc1393ce51c194c2591afe1f6856c58fe38"/>
      <w:r>
        <w:t xml:space="preserve">TENSION POINT 14: Battery Storage ITC Extends Through 2033 While Solar ITC Expires 2027—Lunar’s Battery-First Positioning Is the Most Underreported Regulatory Advantage in Residential Clean Energy</w:t>
      </w:r>
      <w:bookmarkEnd w:id="39"/>
    </w:p>
    <w:p>
      <w:pPr>
        <w:pStyle w:val="FirstParagraph"/>
      </w:pPr>
      <w:r>
        <w:rPr>
          <w:b/>
        </w:rPr>
        <w:t xml:space="preserve">TENSION</w:t>
      </w:r>
      <w:r>
        <w:t xml:space="preserve">: The One Big Beautiful Bill Act eliminated Section 25D (homeowner credit) and accelerates the expiration of Section 48E for solar/wind (end of 2027 for placed-in-service). However, the original IRA schedule for standalone battery storage under 48E was preserved through 2033 with phasedown starting 2034. This means that for the next 7+ years, the primary federal subsidy for residential clean energy will be the battery storage ITC—not solar. Competitors who lead with solar (Enphase’s microinverter ecosystem, SunPower’s successor entities) face a contracting subsidy window. Lunar’s battery-first, solar-agnostic architecture is uniquely positioned for a market where the battery is the subsidized anchor and solar is the unsubsidized add-on.</w:t>
      </w:r>
    </w:p>
    <w:p>
      <w:pPr>
        <w:pStyle w:val="BodyText"/>
      </w:pPr>
      <w:r>
        <w:rPr>
          <w:b/>
        </w:rPr>
        <w:t xml:space="preserve">HYPOTHESIS</w:t>
      </w:r>
      <w:r>
        <w:t xml:space="preserve">: Lunar should explicitly reposition its marketing from</w:t>
      </w:r>
      <w:r>
        <w:t xml:space="preserve"> </w:t>
      </w:r>
      <w:r>
        <w:t xml:space="preserve">“</w:t>
      </w:r>
      <w:r>
        <w:t xml:space="preserve">solar battery system</w:t>
      </w:r>
      <w:r>
        <w:t xml:space="preserve">”</w:t>
      </w:r>
      <w:r>
        <w:t xml:space="preserve"> </w:t>
      </w:r>
      <w:r>
        <w:t xml:space="preserve">to</w:t>
      </w:r>
      <w:r>
        <w:t xml:space="preserve"> </w:t>
      </w:r>
      <w:r>
        <w:t xml:space="preserve">“</w:t>
      </w:r>
      <w:r>
        <w:t xml:space="preserve">battery-first home energy system</w:t>
      </w:r>
      <w:r>
        <w:t xml:space="preserve">”</w:t>
      </w:r>
      <w:r>
        <w:t xml:space="preserve">—emphasizing that the Lunar System qualifies for 30%+ ITC through 2033 regardless of whether the homeowner adds solar. This reframing opens two new customer segments: (a) non-solar homeowners who want backup power and VPP participation without solar panels, and (b) existing solar homeowners on NEM 2.0 who can add a Lunar battery and retain their grandfathered rate while capturing battery ITC. The addressable market for battery-without-new-solar is potentially 3–5x larger than the current solar+battery segment.</w:t>
      </w:r>
    </w:p>
    <w:p>
      <w:pPr>
        <w:pStyle w:val="BodyText"/>
      </w:pPr>
      <w:r>
        <w:rPr>
          <w:b/>
        </w:rPr>
        <w:t xml:space="preserve">CATEGORY</w:t>
      </w:r>
      <w:r>
        <w:t xml:space="preserve">: INFORMATION ARBITRAGE</w:t>
      </w:r>
    </w:p>
    <w:p>
      <w:pPr>
        <w:pStyle w:val="BodyText"/>
      </w:pPr>
      <w:r>
        <w:rPr>
          <w:b/>
        </w:rPr>
        <w:t xml:space="preserve">POTENTIAL MAGNITUDE</w:t>
      </w:r>
      <w:r>
        <w:t xml:space="preserve">: Transformational (reframes the addressable market from</w:t>
      </w:r>
      <w:r>
        <w:t xml:space="preserve"> </w:t>
      </w:r>
      <w:r>
        <w:t xml:space="preserve">“</w:t>
      </w:r>
      <w:r>
        <w:t xml:space="preserve">solar buyers adding battery</w:t>
      </w:r>
      <w:r>
        <w:t xml:space="preserve">”</w:t>
      </w:r>
      <w:r>
        <w:t xml:space="preserve"> </w:t>
      </w:r>
      <w:r>
        <w:t xml:space="preserve">to</w:t>
      </w:r>
      <w:r>
        <w:t xml:space="preserve"> </w:t>
      </w:r>
      <w:r>
        <w:t xml:space="preserve">“</w:t>
      </w:r>
      <w:r>
        <w:t xml:space="preserve">all homeowners wanting resilience + savings</w:t>
      </w:r>
      <w:r>
        <w:t xml:space="preserve">”</w:t>
      </w:r>
      <w:r>
        <w:t xml:space="preserve">)</w:t>
      </w:r>
    </w:p>
    <w:p>
      <w:pPr>
        <w:pStyle w:val="BodyText"/>
      </w:pPr>
      <w:r>
        <w:rPr>
          <w:b/>
        </w:rPr>
        <w:t xml:space="preserve">TIME HORIZON</w:t>
      </w:r>
      <w:r>
        <w:t xml:space="preserve">: Immediate (&lt;6 months — messaging pivot is zero cost)</w:t>
      </w:r>
    </w:p>
    <w:p>
      <w:pPr>
        <w:pStyle w:val="BodyText"/>
      </w:pPr>
      <w:r>
        <w:rPr>
          <w:b/>
        </w:rPr>
        <w:t xml:space="preserve">CONFIDENCE</w:t>
      </w:r>
      <w:r>
        <w:t xml:space="preserve">: High on the regulatory facts; Medium on the market response (consumer awareness of standalone battery benefits is still low)</w:t>
      </w:r>
    </w:p>
    <w:p>
      <w:pPr>
        <w:pStyle w:val="BodyText"/>
      </w:pPr>
      <w:r>
        <w:rPr>
          <w:b/>
        </w:rPr>
        <w:t xml:space="preserve">LAYER 2 RESEARCH QUESTION</w:t>
      </w:r>
      <w:r>
        <w:t xml:space="preserve">: (1) Confirm: does the Lunar System qualify for Section 48E ITC as a standalone battery (without solar) when deployed through a TPO/lease structure? Check: IRS guidance on standalone storage eligibility under 48E; Sunrun’s treatment of battery-only lease products. (2) What is the total addressable market for standalone residential battery (no new solar) in California—how many homes have existing solar but no battery, and how many homes without solar would benefit from battery backup? (3) Are any competitors marketing standalone battery products with ITC? (4) What is the NEM 2.0 grandfathered customer base in California (estimated 1.5M+ homes), and what fraction would benefit from adding battery storage while retaining NEM 2.0 status?</w:t>
      </w:r>
    </w:p>
    <w:p>
      <w:r>
        <w:pict>
          <v:rect style="width:0;height:1.5pt" o:hralign="center" o:hrstd="t" o:hr="t"/>
        </w:pict>
      </w:r>
    </w:p>
    <w:p>
      <w:pPr>
        <w:pStyle w:val="Heading2"/>
      </w:pPr>
      <w:bookmarkStart w:id="40" w:name="X806a90a5477679f2fd14b9c5a02a7b55b7c8e0a"/>
      <w:r>
        <w:t xml:space="preserve">TENSION POINT 15: Sunrun’s Financial Distress (Z-Score -0.47, $14.6B Debt) Is an Existential Risk That Lunar Has Not Addressed</w:t>
      </w:r>
      <w:bookmarkEnd w:id="40"/>
    </w:p>
    <w:p>
      <w:pPr>
        <w:pStyle w:val="FirstParagraph"/>
      </w:pPr>
      <w:r>
        <w:rPr>
          <w:b/>
        </w:rPr>
        <w:t xml:space="preserve">TENSION</w:t>
      </w:r>
      <w:r>
        <w:t xml:space="preserve">: Sunrun’s Altman Z-Score of -0.47 places it firmly in the distress zone. Total debt is $14.6B against $4.6B in equity (315% D/E ratio). Stock fell 27.9% in a single session. Sunrun is Lunar’s largest investor, board chair, primary distribution channel, and dominant Gridshare software customer. If Sunrun enters financial distress—delayed payments, reduced orders, or bankruptcy—Lunar faces simultaneous revenue collapse on both hardware and software lines. The $232M Series D was raised without any public acknowledgment of this concentration risk.</w:t>
      </w:r>
    </w:p>
    <w:p>
      <w:pPr>
        <w:pStyle w:val="BodyText"/>
      </w:pPr>
      <w:r>
        <w:rPr>
          <w:b/>
        </w:rPr>
        <w:t xml:space="preserve">HYPOTHESIS</w:t>
      </w:r>
      <w:r>
        <w:t xml:space="preserve">: Lunar should immediately begin building financial and operational hedges against Sunrun distress: (a) establish direct utility/CCA Gridshare contracts that bypass Sunrun (already begun with PCE, SVCE, Ava—but must accelerate to represent &gt;30% of software revenue), (b) diversify hardware distribution to 3–5 non-Sunrun national partners before Sunrun’s March 2028 debt maturity creates financial pressure, (c) negotiate prepayment or letter-of-credit terms with Sunrun on hardware orders to limit accounts receivable exposure, and (d) ensure Gridshare licensing contracts with Sunrun are multi-year with termination payments that survive a bankruptcy filing. Each month of inaction increases the severity of a potential Sunrun credit event.</w:t>
      </w:r>
    </w:p>
    <w:p>
      <w:pPr>
        <w:pStyle w:val="BodyText"/>
      </w:pPr>
      <w:r>
        <w:rPr>
          <w:b/>
        </w:rPr>
        <w:t xml:space="preserve">CATEGORY</w:t>
      </w:r>
      <w:r>
        <w:t xml:space="preserve">: DEFENSIVE RISK</w:t>
      </w:r>
    </w:p>
    <w:p>
      <w:pPr>
        <w:pStyle w:val="BodyText"/>
      </w:pPr>
      <w:r>
        <w:rPr>
          <w:b/>
        </w:rPr>
        <w:t xml:space="preserve">POTENTIAL MAGNITUDE</w:t>
      </w:r>
      <w:r>
        <w:t xml:space="preserve">: Transformational (Sunrun disruption without hedging could be existential for Lunar)</w:t>
      </w:r>
    </w:p>
    <w:p>
      <w:pPr>
        <w:pStyle w:val="BodyText"/>
      </w:pPr>
      <w:r>
        <w:rPr>
          <w:b/>
        </w:rPr>
        <w:t xml:space="preserve">TIME HORIZON</w:t>
      </w:r>
      <w:r>
        <w:t xml:space="preserve">: Near-term (6–18 months — Sunrun’s next debt maturity is March 2028; distribution diversification takes 12–18 months)</w:t>
      </w:r>
    </w:p>
    <w:p>
      <w:pPr>
        <w:pStyle w:val="BodyText"/>
      </w:pPr>
      <w:r>
        <w:rPr>
          <w:b/>
        </w:rPr>
        <w:t xml:space="preserve">CONFIDENCE</w:t>
      </w:r>
      <w:r>
        <w:t xml:space="preserve">: High on the financial stress indicators; Medium on the probability of actual bankruptcy (Sunrun generated $377M cash in 2025 and has no recourse maturities until March 2028)</w:t>
      </w:r>
    </w:p>
    <w:p>
      <w:pPr>
        <w:pStyle w:val="BodyText"/>
      </w:pPr>
      <w:r>
        <w:rPr>
          <w:b/>
        </w:rPr>
        <w:t xml:space="preserve">LAYER 2 RESEARCH QUESTION</w:t>
      </w:r>
      <w:r>
        <w:t xml:space="preserve">: (1) What percentage of Lunar’s total revenue (hardware + Gridshare software) comes from Sunrun? This is the single most important undisclosed financial fact. (2) What are the payment terms between Sunrun and Lunar—net 30, net 60, or milestone-based? What is Lunar’s current accounts receivable from Sunrun? (3) Does the Gridshare licensing agreement with Sunrun contain change-of-control, termination, or bankruptcy provisions? (4) What would happen to Gridshare-managed Sunrun batteries in a Sunrun bankruptcy—would the new owner honor existing software contracts? Check: Sunrun 10-K related party transactions, Sunrun creditor list in any future filing, precedents from SunPower bankruptcy proceedings for treatment of third-party technology licenses.</w:t>
      </w:r>
    </w:p>
    <w:p>
      <w:r>
        <w:pict>
          <v:rect style="width:0;height:1.5pt" o:hralign="center" o:hrstd="t" o:hr="t"/>
        </w:pict>
      </w:r>
    </w:p>
    <w:p>
      <w:pPr>
        <w:pStyle w:val="Heading2"/>
      </w:pPr>
      <w:bookmarkStart w:id="41" w:name="X99a8d82536241d8e761975da41788b826a7e7ef"/>
      <w:r>
        <w:t xml:space="preserve">TENSION POINT 16: Low-Income SGIP ($1,000/kWh Rebate) Could Fully Subsidize a Lunar System—A Counterintuitive Volume Opportunity in an Uncontested Segment</w:t>
      </w:r>
      <w:bookmarkEnd w:id="41"/>
    </w:p>
    <w:p>
      <w:pPr>
        <w:pStyle w:val="FirstParagraph"/>
      </w:pPr>
      <w:r>
        <w:rPr>
          <w:b/>
        </w:rPr>
        <w:t xml:space="preserve">TENSION</w:t>
      </w:r>
      <w:r>
        <w:t xml:space="preserve">: California’s SGIP Equity Resilience budget provides $1,000/kWh for qualifying low-income customers. At 20 kWh, a Lunar System could receive $20,000 in rebate—covering the entire hardware cost. The $280M CPUC RSSE budget (AB 209) is authorized and partially reserved. Mainstream SGIP general market funding is exhausted, but low-income/equity budgets remain available. No evidence exists that Lunar is targeting this segment. VPP enrollment is required for SGIP recipients—creating natural Gridshare enrollment.</w:t>
      </w:r>
    </w:p>
    <w:p>
      <w:pPr>
        <w:pStyle w:val="BodyText"/>
      </w:pPr>
      <w:r>
        <w:rPr>
          <w:b/>
        </w:rPr>
        <w:t xml:space="preserve">HYPOTHESIS</w:t>
      </w:r>
      <w:r>
        <w:t xml:space="preserve">: The SGIP Equity/Resilience segment is counterintuitively attractive for Lunar: (a) the rebate covers 100% of hardware cost, eliminating price sensitivity, (b) VPP enrollment is mandatory, automatically building the Gridshare fleet, (c) competition is lower because most premium battery manufacturers avoid the segment, (d) environmental justice alignment strengthens utility/CCA relationships, and (e) volume is predictable (budget-constrained, not demand-constrained). Lunar should partner with community-based organizations and affordable housing developers to access $50–100M of the $280M RSSE budget, deploying 2,500–5,000 systems at zero effective cost to homeowners. This simultaneously builds the Gridshare fleet, generates hardware revenue (paid by the rebate program), and positions Lunar favorably with regulators.</w:t>
      </w:r>
    </w:p>
    <w:p>
      <w:pPr>
        <w:pStyle w:val="BodyText"/>
      </w:pPr>
      <w:r>
        <w:rPr>
          <w:b/>
        </w:rPr>
        <w:t xml:space="preserve">CATEGORY</w:t>
      </w:r>
      <w:r>
        <w:t xml:space="preserve">: OFFENSIVE OPPORTUNITY</w:t>
      </w:r>
    </w:p>
    <w:p>
      <w:pPr>
        <w:pStyle w:val="BodyText"/>
      </w:pPr>
      <w:r>
        <w:rPr>
          <w:b/>
        </w:rPr>
        <w:t xml:space="preserve">POTENTIAL MAGNITUDE</w:t>
      </w:r>
      <w:r>
        <w:t xml:space="preserve">: Major (2,500–5,000 units; $50–100M in rebate-funded revenue; simultaneous Gridshare fleet expansion)</w:t>
      </w:r>
    </w:p>
    <w:p>
      <w:pPr>
        <w:pStyle w:val="BodyText"/>
      </w:pPr>
      <w:r>
        <w:rPr>
          <w:b/>
        </w:rPr>
        <w:t xml:space="preserve">TIME HORIZON</w:t>
      </w:r>
      <w:r>
        <w:t xml:space="preserve">: Near-term (6–18 months — RSSE budget is authorized; application process exists)</w:t>
      </w:r>
    </w:p>
    <w:p>
      <w:pPr>
        <w:pStyle w:val="BodyText"/>
      </w:pPr>
      <w:r>
        <w:rPr>
          <w:b/>
        </w:rPr>
        <w:t xml:space="preserve">CONFIDENCE</w:t>
      </w:r>
      <w:r>
        <w:t xml:space="preserve">: Medium — rebate amounts and budget are confirmed; uncertainty is around Lunar’s ability to serve this segment (different channel, different customer needs, potential installation complexity in older homes)</w:t>
      </w:r>
    </w:p>
    <w:p>
      <w:pPr>
        <w:pStyle w:val="BodyText"/>
      </w:pPr>
      <w:r>
        <w:rPr>
          <w:b/>
        </w:rPr>
        <w:t xml:space="preserve">LAYER 2 RESEARCH QUESTION</w:t>
      </w:r>
      <w:r>
        <w:t xml:space="preserve">: (1) What is the current SGIP Equity Resilience budget status—how much is reserved vs. available for new applications? Check: SGIP program administrator (Center for Sustainable Energy) quarterly reports. (2) Which battery manufacturers are currently active in the SGIP Equity segment, and at what volume? (3) What are the specific eligibility requirements for Equity Resilience (income thresholds, geographic targeting, housing type)? (4) Are there community-based organizations or affordable housing developers in California with established SGIP application infrastructure that Lunar could partner with? (5) What is the average installation complexity and cost for battery systems in low-income housing (older electrical panels, potentially smaller available wall space)?</w:t>
      </w:r>
    </w:p>
    <w:p>
      <w:r>
        <w:pict>
          <v:rect style="width:0;height:1.5pt" o:hralign="center" o:hrstd="t" o:hr="t"/>
        </w:pict>
      </w:r>
    </w:p>
    <w:p>
      <w:pPr>
        <w:pStyle w:val="Heading2"/>
      </w:pPr>
      <w:bookmarkStart w:id="42" w:name="X507becd8d096ea3c0fb67c4885d9d007376c83b"/>
      <w:r>
        <w:t xml:space="preserve">TENSION POINT 17: Texas ERCOT Absence Is a Strategic Inconsistency That Grows More Costly Every Month</w:t>
      </w:r>
      <w:bookmarkEnd w:id="42"/>
    </w:p>
    <w:p>
      <w:pPr>
        <w:pStyle w:val="FirstParagraph"/>
      </w:pPr>
      <w:r>
        <w:rPr>
          <w:b/>
        </w:rPr>
        <w:t xml:space="preserve">TENSION</w:t>
      </w:r>
      <w:r>
        <w:t xml:space="preserve">: Lunar has announced Texas as its primary expansion market. ERCOT is the most commercially attractive US VPP market: deregulated retail, no FERC jurisdiction (avoiding Order 2222 implementation delays), 1 GW VPP initiative announced December 2025, ADER pilot expanding from 80 to 160 MW, Real-Time Co-Optimization with Batteries launched December 2025. Tesla and sonnen are already live in ADER. Base Power ($1.3B raised) is building its Austin factory. Yet Lunar has no disclosed Texas installer partnerships, no ADER registration, no retail electricity provider relationship, and no Texas-specific product certification. Every month of delay increases Tesla, sonnen, and Base Power’s installed base advantage.</w:t>
      </w:r>
    </w:p>
    <w:p>
      <w:pPr>
        <w:pStyle w:val="BodyText"/>
      </w:pPr>
      <w:r>
        <w:rPr>
          <w:b/>
        </w:rPr>
        <w:t xml:space="preserve">HYPOTHESIS</w:t>
      </w:r>
      <w:r>
        <w:t xml:space="preserve">: Lunar should fast-track Texas entry by (a) registering for ADER pilot participation immediately, (b) partnering with 2–3 Texas-based installer networks (Freedom Forever has significant Texas presence), (c) establishing a Gridshare relationship with a Texas retail electricity provider (NRG, TXU, Reliant) as Sunrun has already begun, and (d) positioning the Lunar System as the premium domestic-content alternative to Tesla in the Texas</w:t>
      </w:r>
      <w:r>
        <w:t xml:space="preserve"> </w:t>
      </w:r>
      <w:r>
        <w:t xml:space="preserve">“</w:t>
      </w:r>
      <w:r>
        <w:t xml:space="preserve">energy independence</w:t>
      </w:r>
      <w:r>
        <w:t xml:space="preserve">”</w:t>
      </w:r>
      <w:r>
        <w:t xml:space="preserve"> </w:t>
      </w:r>
      <w:r>
        <w:t xml:space="preserve">market. The Texas opportunity is worth 10,000–20,000 units/year by 2028 in a market that is structurally more favorable than California (higher peak prices, deregulated retail, strong backup demand, no NEM complexity).</w:t>
      </w:r>
    </w:p>
    <w:p>
      <w:pPr>
        <w:pStyle w:val="BodyText"/>
      </w:pPr>
      <w:r>
        <w:rPr>
          <w:b/>
        </w:rPr>
        <w:t xml:space="preserve">CATEGORY</w:t>
      </w:r>
      <w:r>
        <w:t xml:space="preserve">: OFFENSIVE OPPORTUNITY</w:t>
      </w:r>
    </w:p>
    <w:p>
      <w:pPr>
        <w:pStyle w:val="BodyText"/>
      </w:pPr>
      <w:r>
        <w:rPr>
          <w:b/>
        </w:rPr>
        <w:t xml:space="preserve">POTENTIAL MAGNITUDE</w:t>
      </w:r>
      <w:r>
        <w:t xml:space="preserve">: Transformational (Texas could be Lunar’s largest market by 2028)</w:t>
      </w:r>
    </w:p>
    <w:p>
      <w:pPr>
        <w:pStyle w:val="BodyText"/>
      </w:pPr>
      <w:r>
        <w:rPr>
          <w:b/>
        </w:rPr>
        <w:t xml:space="preserve">TIME HORIZON</w:t>
      </w:r>
      <w:r>
        <w:t xml:space="preserve">: Immediate (&lt;6 months — ADER registration, first installer partnerships)</w:t>
      </w:r>
    </w:p>
    <w:p>
      <w:pPr>
        <w:pStyle w:val="BodyText"/>
      </w:pPr>
      <w:r>
        <w:rPr>
          <w:b/>
        </w:rPr>
        <w:t xml:space="preserve">CONFIDENCE</w:t>
      </w:r>
      <w:r>
        <w:t xml:space="preserve">: High — the market opportunity is well-documented; Tesla and Base Power are already proving the model; Lunar’s competitive advantages (domestic content, Gridshare, premium positioning) translate to Texas</w:t>
      </w:r>
    </w:p>
    <w:p>
      <w:pPr>
        <w:pStyle w:val="BodyText"/>
      </w:pPr>
      <w:r>
        <w:rPr>
          <w:b/>
        </w:rPr>
        <w:t xml:space="preserve">LAYER 2 RESEARCH QUESTION</w:t>
      </w:r>
      <w:r>
        <w:t xml:space="preserve">: (1) What are the specific requirements for ERCOT ADER pilot participation—registration process, technical requirements, timeline? (2) Which Texas-based solar/battery installers have the highest volume and are not exclusively committed to Tesla or Base Power? Check: Texas TDLR license database for electrical contractors with residential battery installation experience. (3) What retail electricity providers in Texas are most actively building VPP programs, and what technology platforms are they using? (4) What is the landed cost of a Lunar System in Texas (shipping from Georgia vs. Tesla shipping from Nevada)—is there a logistics advantage from the Georgia facility?</w:t>
      </w:r>
    </w:p>
    <w:p>
      <w:r>
        <w:pict>
          <v:rect style="width:0;height:1.5pt" o:hralign="center" o:hrstd="t" o:hr="t"/>
        </w:pict>
      </w:r>
    </w:p>
    <w:p>
      <w:pPr>
        <w:pStyle w:val="Heading2"/>
      </w:pPr>
      <w:bookmarkStart w:id="43" w:name="Xbedf98ef787f7ebac161ca213d350b69f171298"/>
      <w:r>
        <w:t xml:space="preserve">TENSION POINT 18: Moixa’s 2008-Vintage Patents Cited by ~200 Companies May Have Significant Unexploited Licensing Value</w:t>
      </w:r>
      <w:bookmarkEnd w:id="43"/>
    </w:p>
    <w:p>
      <w:pPr>
        <w:pStyle w:val="FirstParagraph"/>
      </w:pPr>
      <w:r>
        <w:rPr>
          <w:b/>
        </w:rPr>
        <w:t xml:space="preserve">TENSION</w:t>
      </w:r>
      <w:r>
        <w:t xml:space="preserve">: Moixa’s 2008 smart home energy patents and 2012 battery aggregation patents have been cited by approximately 200 international companies. US patent US10447042 and AU2017279784 cover managing clusters of batteries as collective grid resources. These patents predate virtually all modern VPP and DERMS platforms by years, potentially giving them broad foundational claims. Lunar has not engaged in any public patent licensing or assertion activity. At 58 total patents with multi-jurisdictional coverage (US, UK, EU, Australia), the portfolio is modest by quantity but potentially powerful by priority date and claim scope.</w:t>
      </w:r>
    </w:p>
    <w:p>
      <w:pPr>
        <w:pStyle w:val="BodyText"/>
      </w:pPr>
      <w:r>
        <w:rPr>
          <w:b/>
        </w:rPr>
        <w:t xml:space="preserve">HYPOTHESIS</w:t>
      </w:r>
      <w:r>
        <w:t xml:space="preserve">: A professional IP audit of the Moixa patent portfolio—specifically claim-mapping against the top 10 VPP/DERMS platforms (Tesla Autobidder, Voltus, AutoGrid/Enel, EnergyHub, Virtual Peaker, Swell Energy, OhmConnect, CPower, Octopus/Kraken, ChargeScape)—could identify 3–5 patents with broad enough claims to support either (a) a defensive cross-licensing strategy that protects Gridshare from competitor patent claims, or (b) an offensive licensing program generating $5–20M/year from companies operating in Moixa’s patented space. The 2008 priority date is particularly valuable—any competitor patent filed after 2008 covering similar methods faces invalidation risk from Moixa’s prior art.</w:t>
      </w:r>
    </w:p>
    <w:p>
      <w:pPr>
        <w:pStyle w:val="BodyText"/>
      </w:pPr>
      <w:r>
        <w:rPr>
          <w:b/>
        </w:rPr>
        <w:t xml:space="preserve">CATEGORY</w:t>
      </w:r>
      <w:r>
        <w:t xml:space="preserve">: OFFENSIVE OPPORTUNITY / INFORMATION ARBITRAGE</w:t>
      </w:r>
    </w:p>
    <w:p>
      <w:pPr>
        <w:pStyle w:val="BodyText"/>
      </w:pPr>
      <w:r>
        <w:rPr>
          <w:b/>
        </w:rPr>
        <w:t xml:space="preserve">POTENTIAL MAGNITUDE</w:t>
      </w:r>
      <w:r>
        <w:t xml:space="preserve">: Major ($5–20M/year in licensing revenue; defensive value in M&amp;A negotiations)</w:t>
      </w:r>
    </w:p>
    <w:p>
      <w:pPr>
        <w:pStyle w:val="BodyText"/>
      </w:pPr>
      <w:r>
        <w:rPr>
          <w:b/>
        </w:rPr>
        <w:t xml:space="preserve">TIME HORIZON</w:t>
      </w:r>
      <w:r>
        <w:t xml:space="preserve">: Medium-term (1–3 years — patent audit and licensing program development)</w:t>
      </w:r>
    </w:p>
    <w:p>
      <w:pPr>
        <w:pStyle w:val="BodyText"/>
      </w:pPr>
      <w:r>
        <w:rPr>
          <w:b/>
        </w:rPr>
        <w:t xml:space="preserve">CONFIDENCE</w:t>
      </w:r>
      <w:r>
        <w:t xml:space="preserve">: Medium — the citation count and priority dates are factual; claim scope and enforceability are uncertain without a detailed claim analysis</w:t>
      </w:r>
    </w:p>
    <w:p>
      <w:pPr>
        <w:pStyle w:val="BodyText"/>
      </w:pPr>
      <w:r>
        <w:rPr>
          <w:b/>
        </w:rPr>
        <w:t xml:space="preserve">LAYER 2 RESEARCH QUESTION</w:t>
      </w:r>
      <w:r>
        <w:t xml:space="preserve">: (1) Obtain and analyze the full claim language of US10447042, US20100076615A1 (2008 smart home patent), and AU2017279784. Map claims against the architectures of Tesla VPP, Voltus, EnergyHub, and AutoGrid. (2) Which of the ~200 citing companies are operating commercial VPP/DERMS platforms? (3) Has Moixa or Lunar ever received inbound patent licensing inquiries? (4) What is the current status (granted, pending, expired) of all 58 Lunar/Moixa patents across jurisdictions? Use: USPTO PAIR, Google Patents, Espacenet, patent analytics platforms (Patsnap, Innography). (5) What licensing revenues have comparable clean energy patent holders (e.g., SunPower, Enphase) generated from their portfolios?</w:t>
      </w:r>
    </w:p>
    <w:p>
      <w:r>
        <w:pict>
          <v:rect style="width:0;height:1.5pt" o:hralign="center" o:hrstd="t" o:hr="t"/>
        </w:pict>
      </w:r>
    </w:p>
    <w:p>
      <w:pPr>
        <w:pStyle w:val="Heading2"/>
      </w:pPr>
      <w:bookmarkStart w:id="44" w:name="X92ff7b96d104bcdc7f907423ea71d02e74e3328"/>
      <w:r>
        <w:t xml:space="preserve">TENSION POINT 19: The Hidden Series C ($130M, Unannounced for 2+ Years) Signals Unfavorable Terms or Flat/Down Valuation</w:t>
      </w:r>
      <w:bookmarkEnd w:id="44"/>
    </w:p>
    <w:p>
      <w:pPr>
        <w:pStyle w:val="FirstParagraph"/>
      </w:pPr>
      <w:r>
        <w:rPr>
          <w:b/>
        </w:rPr>
        <w:t xml:space="preserve">TENSION</w:t>
      </w:r>
      <w:r>
        <w:t xml:space="preserve">: Lunar raised a $130M Series C led by Activate Capital in 2024 but did not announce it publicly until the February 2026 Series D announcement—a delay of approximately 18–24 months. $130M rounds are not typically kept secret. CEO Girotra described the company as</w:t>
      </w:r>
      <w:r>
        <w:t xml:space="preserve"> </w:t>
      </w:r>
      <w:r>
        <w:t xml:space="preserve">“</w:t>
      </w:r>
      <w:r>
        <w:t xml:space="preserve">approaching a $1 billion valuation</w:t>
      </w:r>
      <w:r>
        <w:t xml:space="preserve">”</w:t>
      </w:r>
      <w:r>
        <w:t xml:space="preserve"> </w:t>
      </w:r>
      <w:r>
        <w:t xml:space="preserve">at the Series D—which, for a company that has raised $532M total, implies minimal valuation premium over capital deployed. Activate Capital is actively raising its third fund, creating return-demonstration pressure.</w:t>
      </w:r>
    </w:p>
    <w:p>
      <w:pPr>
        <w:pStyle w:val="BodyText"/>
      </w:pPr>
      <w:r>
        <w:rPr>
          <w:b/>
        </w:rPr>
        <w:t xml:space="preserve">HYPOTHESIS</w:t>
      </w:r>
      <w:r>
        <w:t xml:space="preserve">: The Series C was likely raised at a flat or modestly down valuation relative to the strategic rounds ($300M from Sunrun/SK at an implied $900M–$1.1B post-money). A Series C at $550–650M post-money would represent a 40–50% down round from the implied strategic round valuation—explaining both the non-announcement and the CEO’s careful language about</w:t>
      </w:r>
      <w:r>
        <w:t xml:space="preserve"> </w:t>
      </w:r>
      <w:r>
        <w:t xml:space="preserve">“</w:t>
      </w:r>
      <w:r>
        <w:t xml:space="preserve">approaching $1 billion.</w:t>
      </w:r>
      <w:r>
        <w:t xml:space="preserve">”</w:t>
      </w:r>
      <w:r>
        <w:t xml:space="preserve"> </w:t>
      </w:r>
      <w:r>
        <w:t xml:space="preserve">If true, this creates two important dynamics: (a) anti-dilution protections for Sunrun/SK may have been triggered, further diluting common stock and the employee option pool, and (b) Activate likely negotiated protective provisions (ratchets, liquidation preference multiples, milestone-based tranching) that constrain management’s operational flexibility. Understanding these terms is essential for any M&amp;A counterparty or future investor.</w:t>
      </w:r>
    </w:p>
    <w:p>
      <w:pPr>
        <w:pStyle w:val="BodyText"/>
      </w:pPr>
      <w:r>
        <w:rPr>
          <w:b/>
        </w:rPr>
        <w:t xml:space="preserve">CATEGORY</w:t>
      </w:r>
      <w:r>
        <w:t xml:space="preserve">: INFORMATION ARBITRAGE</w:t>
      </w:r>
    </w:p>
    <w:p>
      <w:pPr>
        <w:pStyle w:val="BodyText"/>
      </w:pPr>
      <w:r>
        <w:rPr>
          <w:b/>
        </w:rPr>
        <w:t xml:space="preserve">POTENTIAL MAGNITUDE</w:t>
      </w:r>
      <w:r>
        <w:t xml:space="preserve">: Major (determines actual dilution levels, governance constraints, and minimum viable exit price)</w:t>
      </w:r>
    </w:p>
    <w:p>
      <w:pPr>
        <w:pStyle w:val="BodyText"/>
      </w:pPr>
      <w:r>
        <w:rPr>
          <w:b/>
        </w:rPr>
        <w:t xml:space="preserve">TIME HORIZON</w:t>
      </w:r>
      <w:r>
        <w:t xml:space="preserve">: Near-term (6–18 months — relevant to any exit or secondary transaction)</w:t>
      </w:r>
    </w:p>
    <w:p>
      <w:pPr>
        <w:pStyle w:val="BodyText"/>
      </w:pPr>
      <w:r>
        <w:rPr>
          <w:b/>
        </w:rPr>
        <w:t xml:space="preserve">CONFIDENCE</w:t>
      </w:r>
      <w:r>
        <w:t xml:space="preserve">: Medium — the non-announcement is factual; the valuation inference is logical but unverifiable from public data</w:t>
      </w:r>
    </w:p>
    <w:p>
      <w:pPr>
        <w:pStyle w:val="BodyText"/>
      </w:pPr>
      <w:r>
        <w:rPr>
          <w:b/>
        </w:rPr>
        <w:t xml:space="preserve">LAYER 2 RESEARCH QUESTION</w:t>
      </w:r>
      <w:r>
        <w:t xml:space="preserve">: (1) What was the actual pre-money valuation of the Series C? Check: Delaware Secretary of State certificate of incorporation amendments (may disclose authorized share count changes that imply valuation); secondary market transaction platforms (Forge, EquityZen, Hiive) for any Lunar Energy secondary trades that would reveal price per share. (2) Did the Series C trigger anti-dilution adjustments for prior preferred holders (Sunrun, SK)? (3) What are Activate Capital’s standard term sheet provisions for growth equity investments—participating vs. non-participating preferred, ratchets, pay-to-play? Check: Activate Capital’s publicly discussed investment terms in prior portfolio companies. (4) What is the current fully diluted share count and option pool percentage?</w:t>
      </w:r>
    </w:p>
    <w:p>
      <w:r>
        <w:pict>
          <v:rect style="width:0;height:1.5pt" o:hralign="center" o:hrstd="t" o:hr="t"/>
        </w:pict>
      </w:r>
    </w:p>
    <w:p>
      <w:pPr>
        <w:pStyle w:val="Heading2"/>
      </w:pPr>
      <w:bookmarkStart w:id="45" w:name="X8874590cb90aeedd8fd4967df7562023ef940dc"/>
      <w:r>
        <w:t xml:space="preserve">TENSION POINT 20: White-Label Utility Battery Program Could Generate 10,000–30,000 Units/Year From a Single Channel</w:t>
      </w:r>
      <w:bookmarkEnd w:id="45"/>
    </w:p>
    <w:p>
      <w:pPr>
        <w:pStyle w:val="FirstParagraph"/>
      </w:pPr>
      <w:r>
        <w:rPr>
          <w:b/>
        </w:rPr>
        <w:t xml:space="preserve">TENSION</w:t>
      </w:r>
      <w:r>
        <w:t xml:space="preserve">: Multiple US utilities (Dominion Virginia’s 450 MW mandated VPP pilot, Georgia Power’s DER procurement, PG&amp;E’s SAVE program expansion, NRG’s Texas VPP initiative) are actively building</w:t>
      </w:r>
      <w:r>
        <w:t xml:space="preserve"> </w:t>
      </w:r>
      <w:r>
        <w:t xml:space="preserve">“</w:t>
      </w:r>
      <w:r>
        <w:t xml:space="preserve">utility-owned DER</w:t>
      </w:r>
      <w:r>
        <w:t xml:space="preserve">”</w:t>
      </w:r>
      <w:r>
        <w:t xml:space="preserve"> </w:t>
      </w:r>
      <w:r>
        <w:t xml:space="preserve">programs. These programs typically procure thousands of battery systems under multi-year contracts at standardized specifications. Lunar’s Gridshare platform already manages utility VPP programs; the Lunar System’s domestic content compliance and FEOC-free status make it uniquely eligible for regulated utility procurement where tax credit qualification is essential. No evidence of a Lunar white-label utility program exists.</w:t>
      </w:r>
    </w:p>
    <w:p>
      <w:pPr>
        <w:pStyle w:val="BodyText"/>
      </w:pPr>
      <w:r>
        <w:rPr>
          <w:b/>
        </w:rPr>
        <w:t xml:space="preserve">HYPOTHESIS</w:t>
      </w:r>
      <w:r>
        <w:t xml:space="preserve">: Lunar should create a</w:t>
      </w:r>
      <w:r>
        <w:t xml:space="preserve"> </w:t>
      </w:r>
      <w:r>
        <w:t xml:space="preserve">“</w:t>
      </w:r>
      <w:r>
        <w:t xml:space="preserve">Lunar for Utilities</w:t>
      </w:r>
      <w:r>
        <w:t xml:space="preserve">”</w:t>
      </w:r>
      <w:r>
        <w:t xml:space="preserve"> </w:t>
      </w:r>
      <w:r>
        <w:t xml:space="preserve">white-label program: standard Lunar hardware branded under the utility’s name, pre-integrated with Gridshare, sold directly to utilities at volume pricing (potentially 20–30% below retail installer channel ASP). At even 5 utility partners with 2,000–6,000 units/year each, this channel could deliver 10,000–30,000 units/year with (a) contracted multi-year volumes (reducing demand forecasting risk), (b) utility-grade credit quality (eliminating Sunrun concentration risk), (c) guaranteed Gridshare deployment (building the software fleet), and (d) no installer channel dependency (utilities handle installation through their own workforce or contractors). The Virginia 450 MW mandate alone, if fulfilled with 20 kWh Lunar Systems, represents 22,500 units—larger than Lunar’s entire 2026 production target.</w:t>
      </w:r>
    </w:p>
    <w:p>
      <w:pPr>
        <w:pStyle w:val="BodyText"/>
      </w:pPr>
      <w:r>
        <w:rPr>
          <w:b/>
        </w:rPr>
        <w:t xml:space="preserve">CATEGORY</w:t>
      </w:r>
      <w:r>
        <w:t xml:space="preserve">: OFFENSIVE OPPORTUNITY</w:t>
      </w:r>
    </w:p>
    <w:p>
      <w:pPr>
        <w:pStyle w:val="BodyText"/>
      </w:pPr>
      <w:r>
        <w:rPr>
          <w:b/>
        </w:rPr>
        <w:t xml:space="preserve">POTENTIAL MAGNITUDE</w:t>
      </w:r>
      <w:r>
        <w:t xml:space="preserve">: Transformational (alternative to installer-dependent growth model; reduces Sunrun dependency)</w:t>
      </w:r>
    </w:p>
    <w:p>
      <w:pPr>
        <w:pStyle w:val="BodyText"/>
      </w:pPr>
      <w:r>
        <w:rPr>
          <w:b/>
        </w:rPr>
        <w:t xml:space="preserve">TIME HORIZON</w:t>
      </w:r>
      <w:r>
        <w:t xml:space="preserve">: Near-term (6–18 months — Virginia RFP likely in 2026; utility procurement cycles are 6–12 months)</w:t>
      </w:r>
    </w:p>
    <w:p>
      <w:pPr>
        <w:pStyle w:val="BodyText"/>
      </w:pPr>
      <w:r>
        <w:rPr>
          <w:b/>
        </w:rPr>
        <w:t xml:space="preserve">CONFIDENCE</w:t>
      </w:r>
      <w:r>
        <w:t xml:space="preserve">: Medium — utility appetite for residential battery procurement is documented; Lunar’s product eligibility is strong; uncertainty is around utility willingness to work with a company of Lunar’s scale and whether volume pricing can support Lunar’s margins</w:t>
      </w:r>
    </w:p>
    <w:p>
      <w:pPr>
        <w:pStyle w:val="BodyText"/>
      </w:pPr>
      <w:r>
        <w:rPr>
          <w:b/>
        </w:rPr>
        <w:t xml:space="preserve">LAYER 2 RESEARCH QUESTION</w:t>
      </w:r>
      <w:r>
        <w:t xml:space="preserve">: (1) What is the timeline and procurement process for Dominion Virginia’s 450 MW VPP pilot—has an RFP been issued? What technical and financial requirements are specified? (2) Which utilities have issued or plan to issue RFPs for residential battery systems for utility-owned DER programs in 2026? Check: utility regulatory filings in Virginia, California, Texas, Illinois, Maryland. (3) What are the typical white-label terms for residential battery procurement by utilities—does the utility purchase hardware outright, or is it a managed service? (4) What competitors (Tesla, FranklinWH, sonnen) have existing utility white-label programs, and at what scale? (5) What margin does a 20–30% discount from retail ASP preserve for Lunar, given the volume benefits of a large utility contract?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2026-02-28T04:44:31Z</dcterms:created>
  <dcterms:modified xsi:type="dcterms:W3CDTF">2026-02-28T04:44:31Z</dcterms:modified>
</cp:coreProperties>
</file>

<file path=docProps/custom.xml><?xml version="1.0" encoding="utf-8"?>
<Properties xmlns="http://schemas.openxmlformats.org/officeDocument/2006/custom-properties" xmlns:vt="http://schemas.openxmlformats.org/officeDocument/2006/docPropsVTypes"/>
</file>